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D21" w:rsidRPr="00794DF7" w:rsidRDefault="002F5D21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40"/>
          <w:szCs w:val="40"/>
        </w:rPr>
      </w:pPr>
    </w:p>
    <w:p w:rsidR="002F5D21" w:rsidRDefault="002F5D21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40"/>
          <w:szCs w:val="40"/>
        </w:rPr>
      </w:pPr>
    </w:p>
    <w:p w:rsidR="002F5D21" w:rsidRDefault="002F5D21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40"/>
          <w:szCs w:val="40"/>
        </w:rPr>
      </w:pPr>
    </w:p>
    <w:p w:rsidR="002F5D21" w:rsidRDefault="002F5D21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40"/>
          <w:szCs w:val="40"/>
        </w:rPr>
      </w:pPr>
    </w:p>
    <w:p w:rsidR="002F5D21" w:rsidRPr="00794DF7" w:rsidRDefault="002F5D21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40"/>
          <w:szCs w:val="40"/>
        </w:rPr>
      </w:pPr>
    </w:p>
    <w:p w:rsidR="002F5D21" w:rsidRPr="00794DF7" w:rsidRDefault="002F5D21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40"/>
          <w:szCs w:val="40"/>
        </w:rPr>
      </w:pPr>
    </w:p>
    <w:p w:rsidR="002F5D21" w:rsidRPr="0046137A" w:rsidRDefault="002F5D21" w:rsidP="0046137A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color w:val="000000"/>
          <w:sz w:val="44"/>
          <w:szCs w:val="40"/>
        </w:rPr>
      </w:pPr>
      <w:r w:rsidRPr="0046137A">
        <w:rPr>
          <w:rFonts w:cs="Calibri"/>
          <w:b/>
          <w:color w:val="000000"/>
          <w:sz w:val="44"/>
          <w:szCs w:val="40"/>
        </w:rPr>
        <w:t>SPECYFIKACJ</w:t>
      </w:r>
      <w:r>
        <w:rPr>
          <w:rFonts w:cs="Calibri"/>
          <w:b/>
          <w:color w:val="000000"/>
          <w:sz w:val="44"/>
          <w:szCs w:val="40"/>
        </w:rPr>
        <w:t xml:space="preserve">A </w:t>
      </w:r>
      <w:r w:rsidRPr="0046137A">
        <w:rPr>
          <w:rFonts w:cs="Calibri"/>
          <w:b/>
          <w:color w:val="000000"/>
          <w:sz w:val="44"/>
          <w:szCs w:val="40"/>
        </w:rPr>
        <w:t>TECHNICZN</w:t>
      </w:r>
      <w:r>
        <w:rPr>
          <w:rFonts w:cs="Calibri"/>
          <w:b/>
          <w:color w:val="000000"/>
          <w:sz w:val="44"/>
          <w:szCs w:val="40"/>
        </w:rPr>
        <w:t>A</w:t>
      </w:r>
    </w:p>
    <w:p w:rsidR="002F5D21" w:rsidRPr="0046137A" w:rsidRDefault="002F5D21" w:rsidP="0046137A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color w:val="000000"/>
          <w:sz w:val="44"/>
          <w:szCs w:val="40"/>
        </w:rPr>
      </w:pPr>
      <w:r w:rsidRPr="0046137A">
        <w:rPr>
          <w:rFonts w:cs="Calibri"/>
          <w:b/>
          <w:color w:val="000000"/>
          <w:sz w:val="44"/>
          <w:szCs w:val="40"/>
        </w:rPr>
        <w:t>WYKONANIA I ODBIORU ROBÓT</w:t>
      </w:r>
    </w:p>
    <w:p w:rsidR="002F5D21" w:rsidRDefault="002F5D21" w:rsidP="0046137A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color w:val="000000"/>
          <w:sz w:val="40"/>
          <w:szCs w:val="40"/>
        </w:rPr>
      </w:pPr>
    </w:p>
    <w:p w:rsidR="002F5D21" w:rsidRDefault="002F5D21" w:rsidP="0046137A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color w:val="000000"/>
          <w:sz w:val="40"/>
          <w:szCs w:val="40"/>
        </w:rPr>
      </w:pPr>
    </w:p>
    <w:p w:rsidR="002F5D21" w:rsidRDefault="002F5D21" w:rsidP="0046137A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color w:val="000000"/>
          <w:sz w:val="40"/>
          <w:szCs w:val="40"/>
        </w:rPr>
      </w:pPr>
    </w:p>
    <w:p w:rsidR="002F5D21" w:rsidRDefault="002F5D21" w:rsidP="0046137A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color w:val="000000"/>
          <w:sz w:val="40"/>
          <w:szCs w:val="40"/>
        </w:rPr>
      </w:pPr>
    </w:p>
    <w:p w:rsidR="002F5D21" w:rsidRDefault="002F5D21" w:rsidP="0046137A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color w:val="000000"/>
          <w:sz w:val="28"/>
          <w:szCs w:val="28"/>
        </w:rPr>
      </w:pPr>
      <w:r>
        <w:rPr>
          <w:rFonts w:cs="Calibri"/>
          <w:b/>
          <w:color w:val="000000"/>
          <w:sz w:val="28"/>
          <w:szCs w:val="28"/>
        </w:rPr>
        <w:t>NAWIERZCHNIA Z BETONU ASFALTOWEGO.</w:t>
      </w:r>
    </w:p>
    <w:p w:rsidR="002F5D21" w:rsidRDefault="002F5D21" w:rsidP="0046137A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color w:val="000000"/>
          <w:sz w:val="28"/>
          <w:szCs w:val="28"/>
        </w:rPr>
      </w:pPr>
      <w:r>
        <w:rPr>
          <w:rFonts w:cs="Calibri"/>
          <w:b/>
          <w:color w:val="000000"/>
          <w:sz w:val="28"/>
          <w:szCs w:val="28"/>
        </w:rPr>
        <w:t xml:space="preserve">WARSTWA WIĄŻĄCA I WYRÓWNAWCZA </w:t>
      </w:r>
    </w:p>
    <w:p w:rsidR="002F5D21" w:rsidRPr="00794DF7" w:rsidRDefault="002F5D21" w:rsidP="0046137A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  <w:color w:val="000000"/>
          <w:sz w:val="28"/>
          <w:szCs w:val="28"/>
        </w:rPr>
      </w:pPr>
      <w:r>
        <w:rPr>
          <w:rFonts w:cs="Calibri"/>
          <w:b/>
          <w:color w:val="000000"/>
          <w:sz w:val="28"/>
          <w:szCs w:val="28"/>
        </w:rPr>
        <w:t>wg WT—1 I WT—2 Z 2010 R.</w:t>
      </w:r>
    </w:p>
    <w:p w:rsidR="002F5D21" w:rsidRPr="00794DF7" w:rsidRDefault="002F5D21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8"/>
          <w:szCs w:val="28"/>
        </w:rPr>
      </w:pPr>
    </w:p>
    <w:p w:rsidR="002F5D21" w:rsidRPr="00794DF7" w:rsidRDefault="002F5D21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8"/>
          <w:szCs w:val="28"/>
        </w:rPr>
      </w:pPr>
    </w:p>
    <w:p w:rsidR="002F5D21" w:rsidRPr="00794DF7" w:rsidRDefault="002F5D21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</w:p>
    <w:p w:rsidR="002F5D21" w:rsidRPr="00794DF7" w:rsidRDefault="002F5D21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</w:p>
    <w:p w:rsidR="002F5D21" w:rsidRPr="00794DF7" w:rsidRDefault="002F5D21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</w:p>
    <w:p w:rsidR="002F5D21" w:rsidRPr="00794DF7" w:rsidRDefault="002F5D21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</w:p>
    <w:p w:rsidR="002F5D21" w:rsidRPr="00794DF7" w:rsidRDefault="002F5D21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</w:p>
    <w:p w:rsidR="002F5D21" w:rsidRPr="00794DF7" w:rsidRDefault="002F5D21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</w:p>
    <w:p w:rsidR="002F5D21" w:rsidRPr="00794DF7" w:rsidRDefault="002F5D21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</w:p>
    <w:p w:rsidR="002F5D21" w:rsidRPr="00794DF7" w:rsidRDefault="002F5D21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</w:p>
    <w:p w:rsidR="002F5D21" w:rsidRPr="00794DF7" w:rsidRDefault="002F5D21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  <w:sz w:val="20"/>
          <w:szCs w:val="20"/>
        </w:rPr>
      </w:pPr>
    </w:p>
    <w:p w:rsidR="002F5D21" w:rsidRPr="00D10B2C" w:rsidRDefault="002F5D21" w:rsidP="00DC0742">
      <w:pPr>
        <w:rPr>
          <w:rFonts w:cs="Calibri"/>
          <w:b/>
          <w:color w:val="000000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br w:type="page"/>
      </w:r>
      <w:r w:rsidRPr="00D10B2C">
        <w:rPr>
          <w:rFonts w:cs="Calibri"/>
          <w:b/>
          <w:color w:val="000000"/>
          <w:sz w:val="20"/>
          <w:szCs w:val="20"/>
        </w:rPr>
        <w:t>1. WSTĘP</w:t>
      </w:r>
    </w:p>
    <w:p w:rsidR="002F5D21" w:rsidRPr="00794DF7" w:rsidRDefault="002F5D21" w:rsidP="00FD1E6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</w:p>
    <w:p w:rsidR="002F5D21" w:rsidRPr="00D54E7E" w:rsidRDefault="002F5D21" w:rsidP="00D54E7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sz w:val="20"/>
          <w:szCs w:val="20"/>
        </w:rPr>
      </w:pPr>
      <w:r w:rsidRPr="00D54E7E">
        <w:rPr>
          <w:rFonts w:cs="Calibri"/>
          <w:color w:val="000000"/>
          <w:sz w:val="20"/>
          <w:szCs w:val="20"/>
        </w:rPr>
        <w:t>1.1. Przedmiot STWiOR</w:t>
      </w:r>
    </w:p>
    <w:p w:rsidR="002F5D21" w:rsidRPr="00E15A58" w:rsidRDefault="002F5D21" w:rsidP="00833892">
      <w:pPr>
        <w:autoSpaceDE w:val="0"/>
        <w:autoSpaceDN w:val="0"/>
        <w:adjustRightInd w:val="0"/>
        <w:spacing w:after="0" w:line="240" w:lineRule="auto"/>
        <w:ind w:left="448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Przedmiotem niniejszej specyfikacji technicznej (STWIOR ) są wymagania ogólne dotyczące wykonania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i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odbioru robót związanych z wykonaniem warstwy wiążącej i wyrówna</w:t>
      </w:r>
      <w:r>
        <w:rPr>
          <w:rFonts w:cs="Calibri"/>
          <w:sz w:val="20"/>
          <w:szCs w:val="20"/>
        </w:rPr>
        <w:t xml:space="preserve">wczej </w:t>
      </w:r>
      <w:r w:rsidRPr="00E15A58">
        <w:rPr>
          <w:rFonts w:cs="Calibri"/>
          <w:sz w:val="20"/>
          <w:szCs w:val="20"/>
        </w:rPr>
        <w:t xml:space="preserve">przy </w:t>
      </w:r>
      <w:r w:rsidRPr="00F621BD">
        <w:rPr>
          <w:rFonts w:cs="Calibri"/>
          <w:sz w:val="20"/>
          <w:szCs w:val="20"/>
        </w:rPr>
        <w:t>zadaniu pn.: „</w:t>
      </w:r>
      <w:r>
        <w:rPr>
          <w:rFonts w:cs="Calibri"/>
          <w:sz w:val="20"/>
          <w:szCs w:val="20"/>
        </w:rPr>
        <w:t>Przebudowa ul. Warzywnej w Dabrowie Tarnowskiej”</w:t>
      </w:r>
      <w:r w:rsidRPr="00F621BD">
        <w:rPr>
          <w:rFonts w:cs="Calibri"/>
          <w:sz w:val="20"/>
          <w:szCs w:val="20"/>
        </w:rPr>
        <w:t>.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1.2. Zakres stosowania STWIOR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Gdziekolwiek w tej specyfikacji jest zapis SST należy przyjąć jako tożsame zapis STWIOR</w:t>
      </w:r>
      <w:r>
        <w:rPr>
          <w:rFonts w:cs="Calibri"/>
          <w:sz w:val="20"/>
          <w:szCs w:val="20"/>
        </w:rPr>
        <w:t>,</w:t>
      </w:r>
      <w:r w:rsidRPr="00D54E7E">
        <w:rPr>
          <w:rFonts w:cs="Calibri"/>
          <w:sz w:val="20"/>
          <w:szCs w:val="20"/>
        </w:rPr>
        <w:t xml:space="preserve"> to samo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dotyczy inżyniera kontraktu do tej specyfikacji występuje jako inspektor nadzoru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Specyfikacja techniczna stanowi dokument przetargowy i kontraktowy przy zlecaniu i realizacji robót jak w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pkt.1.1</w:t>
      </w:r>
      <w:r>
        <w:rPr>
          <w:rFonts w:cs="Calibri"/>
          <w:sz w:val="20"/>
          <w:szCs w:val="20"/>
        </w:rPr>
        <w:t>.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1.3. Zakres robót objętych STWIOR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Ustalenia zawarte w niniejszej specyfikacji dotyczą zasad prowadzenia robót związanych z wykonaniem i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odbiorem warstwy wiążącej i wyrównawczej z betonu asfaltowego wg PN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EN 13108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1 [47] i WT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2 Nawierzchnie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asfaltowe 2010 [65] z mieszanki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asfaltowej dostarczonej od producenta. W przypadku produkcji mieszanki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asfaltowej przez Wykonawcę dla potrzeb budowy, Wykonawca zobowiązany jest prowadzić Zakładową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kontrolę produkcji (ZKP) zgodnie z WT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2 [65] punkt 8.4.1.5.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Warstwę wiążącą i wyrównawczą z betonu asfaltowego można wykonywać dla dróg kategorii ruchu od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 xml:space="preserve">KRI do KR2 (określenie kategorii ruchu podano w punkcie 1.4.8). Stosowane mieszanki betonu asfaltowego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o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wymiarze D podano w tablicy 1.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C538C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i/>
          <w:sz w:val="18"/>
          <w:szCs w:val="20"/>
        </w:rPr>
      </w:pPr>
      <w:r w:rsidRPr="00DC538C">
        <w:rPr>
          <w:rFonts w:cs="Calibri"/>
          <w:i/>
          <w:sz w:val="18"/>
          <w:szCs w:val="20"/>
        </w:rPr>
        <w:t>Tablica 1. Stosowane mieszanki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59"/>
        <w:gridCol w:w="6487"/>
      </w:tblGrid>
      <w:tr w:rsidR="002F5D21" w:rsidRPr="0094643B" w:rsidTr="0094643B">
        <w:tc>
          <w:tcPr>
            <w:tcW w:w="2659" w:type="dxa"/>
            <w:vAlign w:val="center"/>
          </w:tcPr>
          <w:p w:rsidR="002F5D21" w:rsidRPr="0094643B" w:rsidRDefault="002F5D21" w:rsidP="0094643B">
            <w:pPr>
              <w:tabs>
                <w:tab w:val="center" w:pos="1434"/>
                <w:tab w:val="right" w:pos="2443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Kategoria ruchu</w:t>
            </w:r>
          </w:p>
        </w:tc>
        <w:tc>
          <w:tcPr>
            <w:tcW w:w="6487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Mieszanki o wymiarze D1*, mm</w:t>
            </w:r>
          </w:p>
        </w:tc>
      </w:tr>
      <w:tr w:rsidR="002F5D21" w:rsidRPr="0094643B" w:rsidTr="0094643B">
        <w:trPr>
          <w:trHeight w:val="356"/>
        </w:trPr>
        <w:tc>
          <w:tcPr>
            <w:tcW w:w="265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KR 1—2</w:t>
            </w:r>
          </w:p>
        </w:tc>
        <w:tc>
          <w:tcPr>
            <w:tcW w:w="6487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AC11W</w:t>
            </w:r>
            <w:r w:rsidRPr="0094643B">
              <w:rPr>
                <w:rFonts w:cs="Calibri"/>
                <w:sz w:val="16"/>
                <w:szCs w:val="20"/>
                <w:vertAlign w:val="superscript"/>
              </w:rPr>
              <w:t>2)</w:t>
            </w:r>
            <w:r w:rsidRPr="0094643B">
              <w:rPr>
                <w:rFonts w:cs="Calibri"/>
                <w:sz w:val="16"/>
                <w:szCs w:val="20"/>
              </w:rPr>
              <w:t>,</w:t>
            </w:r>
          </w:p>
        </w:tc>
      </w:tr>
    </w:tbl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Podział ze względu na wymiar największego kruszywa w mieszance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1.4. Określenia podstawowe</w:t>
      </w: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1.4.1. Nawierzchnia 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konstrukcja składająca się z jednej lub kilku warstw służących do przejmowania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i rozkładania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obciążeń od ruchu pojazdów na podłoże.</w:t>
      </w: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1.4.2. 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Warstwa wiążąca — warstwa nawierzchni miedzy warstwą ścieralną a podbudową.</w:t>
      </w: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1.4.3. Warstwa wyrównawcza 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warstwa o zmiennej grubości, ułożona na istniejącej warstwie w celu uzyskania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odpowiedniego profilu potrzebnego do ułożenia kolejnej warstwy.</w:t>
      </w: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1.4.4. 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Mieszanka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asfaltowa 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mieszanka kruszyw i lepiszcza asfaltowego.</w:t>
      </w: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1.4.5. Nawierzchnia 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konstrukcja składająca się z jednej lub kilku warstw służących do przejmowania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i rozkładania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obciążeń od ruchu pojazdów na podłoże.</w:t>
      </w: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1.4.6. 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Warstwa wiążąca — warstwa nawierzchni miedzy warstwą ścieralną a podbudową.</w:t>
      </w: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1.4.7. Warstwa wyrównawcza 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warstwa o zmiennej grubości, ułożona na istniejącej warstwie w celu uzyskania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odpowiedniego profilu potrzebnego do ułożenia kolejnej warstwy.</w:t>
      </w: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1.4.8. 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Mieszanka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asfaltowa 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mieszanka kruszyw i lepiszcza asfaltowego.</w:t>
      </w: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1.4.5. 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Wymiar mieszanki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asfaltowej 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określenie mieszanki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asfaltowej, ze względu na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największy wymiar kruszywa D, np. wymiar 11,16,22.</w:t>
      </w: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1.4.6. Beton asfaltowy 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mieszanka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asfaltowa, w której kruszywo o uziarnieniu ciągłym lub nieciągłym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tworzy strukturę wzajemnie klinującą się.</w:t>
      </w: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1.4.7. Uziarnienie 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skład ziarnowy kruszywa, wyrażony w procentach masy ziaren przechodzących przez określony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zestaw sit.</w:t>
      </w: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1.4.8. 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Kategoria ruchu — obciążenie drogi ruchem samochodowym, wyrażone w osiach obliczeniowych (100 kN) wg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Katalogu typowych konstrukcji nawierzchni podatnych i półsztywnych" GDDP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IBDiM [68],</w:t>
      </w: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1.4.9. Wymiar kruszywa 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wielkość ziaren kruszywa, określona przez dolny (d) i górny (D) wymiar sita.</w:t>
      </w: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1.4.10. Kruszywo grube 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kruszywo z ziaren o wymiarze: D &lt; </w:t>
      </w:r>
      <w:smartTag w:uri="urn:schemas-microsoft-com:office:smarttags" w:element="metricconverter">
        <w:smartTagPr>
          <w:attr w:name="ProductID" w:val="45 mm"/>
        </w:smartTagPr>
        <w:r w:rsidRPr="00D54E7E">
          <w:rPr>
            <w:rFonts w:cs="Calibri"/>
            <w:sz w:val="20"/>
            <w:szCs w:val="20"/>
          </w:rPr>
          <w:t>45 mm</w:t>
        </w:r>
      </w:smartTag>
      <w:r w:rsidRPr="00D54E7E">
        <w:rPr>
          <w:rFonts w:cs="Calibri"/>
          <w:sz w:val="20"/>
          <w:szCs w:val="20"/>
        </w:rPr>
        <w:t xml:space="preserve"> oraz d &gt; </w:t>
      </w:r>
      <w:smartTag w:uri="urn:schemas-microsoft-com:office:smarttags" w:element="metricconverter">
        <w:smartTagPr>
          <w:attr w:name="ProductID" w:val="2 mm"/>
        </w:smartTagPr>
        <w:r w:rsidRPr="00D54E7E">
          <w:rPr>
            <w:rFonts w:cs="Calibri"/>
            <w:sz w:val="20"/>
            <w:szCs w:val="20"/>
          </w:rPr>
          <w:t>2 mm</w:t>
        </w:r>
      </w:smartTag>
      <w:r w:rsidRPr="00D54E7E">
        <w:rPr>
          <w:rFonts w:cs="Calibri"/>
          <w:sz w:val="20"/>
          <w:szCs w:val="20"/>
        </w:rPr>
        <w:t>.</w:t>
      </w: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1.4.11. Kruszywo drobne 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kruszywo z ziaren o wymiarze: D &lt; </w:t>
      </w:r>
      <w:smartTag w:uri="urn:schemas-microsoft-com:office:smarttags" w:element="metricconverter">
        <w:smartTagPr>
          <w:attr w:name="ProductID" w:val="2 mm"/>
        </w:smartTagPr>
        <w:r w:rsidRPr="00D54E7E">
          <w:rPr>
            <w:rFonts w:cs="Calibri"/>
            <w:sz w:val="20"/>
            <w:szCs w:val="20"/>
          </w:rPr>
          <w:t>2 mm</w:t>
        </w:r>
      </w:smartTag>
      <w:r w:rsidRPr="00D54E7E">
        <w:rPr>
          <w:rFonts w:cs="Calibri"/>
          <w:sz w:val="20"/>
          <w:szCs w:val="20"/>
        </w:rPr>
        <w:t xml:space="preserve">, którego większa część pozostaje na sicie </w:t>
      </w:r>
      <w:r>
        <w:rPr>
          <w:rFonts w:cs="Calibri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0,063 mm"/>
        </w:smartTagPr>
        <w:r w:rsidRPr="00D54E7E">
          <w:rPr>
            <w:rFonts w:cs="Calibri"/>
            <w:sz w:val="20"/>
            <w:szCs w:val="20"/>
          </w:rPr>
          <w:t>0,063</w:t>
        </w:r>
        <w:r>
          <w:rPr>
            <w:rFonts w:cs="Calibri"/>
            <w:sz w:val="20"/>
            <w:szCs w:val="20"/>
          </w:rPr>
          <w:t xml:space="preserve"> </w:t>
        </w:r>
        <w:r w:rsidRPr="00D54E7E">
          <w:rPr>
            <w:rFonts w:cs="Calibri"/>
            <w:sz w:val="20"/>
            <w:szCs w:val="20"/>
          </w:rPr>
          <w:t>mm</w:t>
        </w:r>
      </w:smartTag>
      <w:r w:rsidRPr="00D54E7E">
        <w:rPr>
          <w:rFonts w:cs="Calibri"/>
          <w:sz w:val="20"/>
          <w:szCs w:val="20"/>
        </w:rPr>
        <w:t>.</w:t>
      </w: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1.4.12. Pył 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kruszywo z ziaren przechodzących przez sito </w:t>
      </w:r>
      <w:smartTag w:uri="urn:schemas-microsoft-com:office:smarttags" w:element="metricconverter">
        <w:smartTagPr>
          <w:attr w:name="ProductID" w:val="0,063 mm"/>
        </w:smartTagPr>
        <w:r w:rsidRPr="00D54E7E">
          <w:rPr>
            <w:rFonts w:cs="Calibri"/>
            <w:sz w:val="20"/>
            <w:szCs w:val="20"/>
          </w:rPr>
          <w:t>0,063 mm</w:t>
        </w:r>
      </w:smartTag>
      <w:r w:rsidRPr="00D54E7E">
        <w:rPr>
          <w:rFonts w:cs="Calibri"/>
          <w:sz w:val="20"/>
          <w:szCs w:val="20"/>
        </w:rPr>
        <w:t>.</w:t>
      </w: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1.4.13. Wypełniacz — kruszywo, którego większa część przechodzi przez sito </w:t>
      </w:r>
      <w:smartTag w:uri="urn:schemas-microsoft-com:office:smarttags" w:element="metricconverter">
        <w:smartTagPr>
          <w:attr w:name="ProductID" w:val="0,063 mm"/>
        </w:smartTagPr>
        <w:r w:rsidRPr="00D54E7E">
          <w:rPr>
            <w:rFonts w:cs="Calibri"/>
            <w:sz w:val="20"/>
            <w:szCs w:val="20"/>
          </w:rPr>
          <w:t>0,063 mm</w:t>
        </w:r>
      </w:smartTag>
      <w:r w:rsidRPr="00D54E7E">
        <w:rPr>
          <w:rFonts w:cs="Calibri"/>
          <w:sz w:val="20"/>
          <w:szCs w:val="20"/>
        </w:rPr>
        <w:t>. (Wypełniacz mieszany —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kruszywo, które składa się z wypełniacza pochodzenia mineralnego i wodorotlenku wapnia. Wypełniacz dodany —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wypełniacz pochodzenia mineralnego, wyprodukowany oddzielnie).</w:t>
      </w: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1.4.14. Kationowa emulsja asfaltowa 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emulsja, w której emulgator nadaje dodatnie ładunki cząstkom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zdyspergowanego asfaltu.</w:t>
      </w: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1.4.15. Pozostałe określenia podstawowe są zgodne z obowiązującymi, odpowiednimi polskimi normami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i z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definicjami podanymi w SST D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M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00.00.00 „Wymagania ogólne".</w:t>
      </w:r>
    </w:p>
    <w:p w:rsidR="002F5D21" w:rsidRDefault="002F5D21" w:rsidP="002E3C57">
      <w:pPr>
        <w:autoSpaceDE w:val="0"/>
        <w:autoSpaceDN w:val="0"/>
        <w:adjustRightInd w:val="0"/>
        <w:spacing w:after="0" w:line="240" w:lineRule="auto"/>
        <w:ind w:left="993" w:hanging="567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1.4.16. Symbole i skróty dodatkowe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303FBB" w:rsidRDefault="002F5D21" w:rsidP="002E3C57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  <w:sz w:val="18"/>
          <w:szCs w:val="20"/>
        </w:rPr>
      </w:pPr>
      <w:r w:rsidRPr="00303FBB">
        <w:rPr>
          <w:rFonts w:cs="Calibri"/>
          <w:sz w:val="18"/>
          <w:szCs w:val="20"/>
        </w:rPr>
        <w:t xml:space="preserve">ACW </w:t>
      </w:r>
      <w:r w:rsidRPr="00303FBB">
        <w:rPr>
          <w:rFonts w:cs="Calibri"/>
          <w:sz w:val="18"/>
          <w:szCs w:val="20"/>
        </w:rPr>
        <w:tab/>
      </w:r>
      <w:r>
        <w:rPr>
          <w:rFonts w:cs="Calibri"/>
          <w:sz w:val="18"/>
          <w:szCs w:val="20"/>
        </w:rPr>
        <w:t>—</w:t>
      </w:r>
      <w:r w:rsidRPr="00303FBB">
        <w:rPr>
          <w:rFonts w:cs="Calibri"/>
          <w:sz w:val="18"/>
          <w:szCs w:val="20"/>
        </w:rPr>
        <w:t xml:space="preserve"> beton asfaltowy do warstwy wiążącej i wyrównawczej</w:t>
      </w:r>
    </w:p>
    <w:p w:rsidR="002F5D21" w:rsidRPr="00303FBB" w:rsidRDefault="002F5D21" w:rsidP="002E3C57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  <w:sz w:val="18"/>
          <w:szCs w:val="20"/>
        </w:rPr>
      </w:pPr>
      <w:r w:rsidRPr="00303FBB">
        <w:rPr>
          <w:rFonts w:cs="Calibri"/>
          <w:sz w:val="18"/>
          <w:szCs w:val="20"/>
        </w:rPr>
        <w:t xml:space="preserve">PMB </w:t>
      </w:r>
      <w:r w:rsidRPr="00303FBB">
        <w:rPr>
          <w:rFonts w:cs="Calibri"/>
          <w:sz w:val="18"/>
          <w:szCs w:val="20"/>
        </w:rPr>
        <w:tab/>
      </w:r>
      <w:r>
        <w:rPr>
          <w:rFonts w:cs="Calibri"/>
          <w:sz w:val="18"/>
          <w:szCs w:val="20"/>
        </w:rPr>
        <w:t>—</w:t>
      </w:r>
      <w:r w:rsidRPr="00303FBB">
        <w:rPr>
          <w:rFonts w:cs="Calibri"/>
          <w:sz w:val="18"/>
          <w:szCs w:val="20"/>
        </w:rPr>
        <w:t xml:space="preserve"> polimeroasfalt,</w:t>
      </w:r>
    </w:p>
    <w:p w:rsidR="002F5D21" w:rsidRPr="00303FBB" w:rsidRDefault="002F5D21" w:rsidP="002E3C57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  <w:sz w:val="18"/>
          <w:szCs w:val="20"/>
        </w:rPr>
      </w:pPr>
      <w:r w:rsidRPr="00303FBB">
        <w:rPr>
          <w:rFonts w:cs="Calibri"/>
          <w:sz w:val="18"/>
          <w:szCs w:val="20"/>
        </w:rPr>
        <w:t xml:space="preserve">D </w:t>
      </w:r>
      <w:r w:rsidRPr="00303FBB">
        <w:rPr>
          <w:rFonts w:cs="Calibri"/>
          <w:sz w:val="18"/>
          <w:szCs w:val="20"/>
        </w:rPr>
        <w:tab/>
      </w:r>
      <w:r>
        <w:rPr>
          <w:rFonts w:cs="Calibri"/>
          <w:sz w:val="18"/>
          <w:szCs w:val="20"/>
        </w:rPr>
        <w:t>—</w:t>
      </w:r>
      <w:r w:rsidRPr="00303FBB">
        <w:rPr>
          <w:rFonts w:cs="Calibri"/>
          <w:sz w:val="18"/>
          <w:szCs w:val="20"/>
        </w:rPr>
        <w:t xml:space="preserve"> górny wymiar sita (przy określaniu wielkości ziaren kruszywa),</w:t>
      </w:r>
    </w:p>
    <w:p w:rsidR="002F5D21" w:rsidRPr="00303FBB" w:rsidRDefault="002F5D21" w:rsidP="002E3C57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  <w:sz w:val="18"/>
          <w:szCs w:val="20"/>
        </w:rPr>
      </w:pPr>
      <w:r w:rsidRPr="00303FBB">
        <w:rPr>
          <w:rFonts w:cs="Calibri"/>
          <w:sz w:val="18"/>
          <w:szCs w:val="20"/>
        </w:rPr>
        <w:t xml:space="preserve">d </w:t>
      </w:r>
      <w:r w:rsidRPr="00303FBB">
        <w:rPr>
          <w:rFonts w:cs="Calibri"/>
          <w:sz w:val="18"/>
          <w:szCs w:val="20"/>
        </w:rPr>
        <w:tab/>
      </w:r>
      <w:r>
        <w:rPr>
          <w:rFonts w:cs="Calibri"/>
          <w:sz w:val="18"/>
          <w:szCs w:val="20"/>
        </w:rPr>
        <w:t>—</w:t>
      </w:r>
      <w:r w:rsidRPr="00303FBB">
        <w:rPr>
          <w:rFonts w:cs="Calibri"/>
          <w:sz w:val="18"/>
          <w:szCs w:val="20"/>
        </w:rPr>
        <w:t xml:space="preserve"> dolny wymiar sita (przy określaniu wielkości ziaren kruszywa),</w:t>
      </w:r>
    </w:p>
    <w:p w:rsidR="002F5D21" w:rsidRPr="00303FBB" w:rsidRDefault="002F5D21" w:rsidP="002E3C57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  <w:sz w:val="18"/>
          <w:szCs w:val="20"/>
        </w:rPr>
      </w:pPr>
      <w:r w:rsidRPr="00303FBB">
        <w:rPr>
          <w:rFonts w:cs="Calibri"/>
          <w:sz w:val="18"/>
          <w:szCs w:val="20"/>
        </w:rPr>
        <w:t xml:space="preserve">C </w:t>
      </w:r>
      <w:r w:rsidRPr="00303FBB">
        <w:rPr>
          <w:rFonts w:cs="Calibri"/>
          <w:sz w:val="18"/>
          <w:szCs w:val="20"/>
        </w:rPr>
        <w:tab/>
      </w:r>
      <w:r>
        <w:rPr>
          <w:rFonts w:cs="Calibri"/>
          <w:sz w:val="18"/>
          <w:szCs w:val="20"/>
        </w:rPr>
        <w:t>—</w:t>
      </w:r>
      <w:r w:rsidRPr="00303FBB">
        <w:rPr>
          <w:rFonts w:cs="Calibri"/>
          <w:sz w:val="18"/>
          <w:szCs w:val="20"/>
        </w:rPr>
        <w:t xml:space="preserve"> kationowa emulsja asfaltowa,</w:t>
      </w:r>
    </w:p>
    <w:p w:rsidR="002F5D21" w:rsidRPr="00303FBB" w:rsidRDefault="002F5D21" w:rsidP="00303FBB">
      <w:pPr>
        <w:autoSpaceDE w:val="0"/>
        <w:autoSpaceDN w:val="0"/>
        <w:adjustRightInd w:val="0"/>
        <w:spacing w:after="0" w:line="240" w:lineRule="auto"/>
        <w:ind w:left="1418" w:hanging="425"/>
        <w:jc w:val="both"/>
        <w:rPr>
          <w:rFonts w:cs="Calibri"/>
          <w:sz w:val="18"/>
          <w:szCs w:val="20"/>
        </w:rPr>
      </w:pPr>
      <w:r w:rsidRPr="00303FBB">
        <w:rPr>
          <w:rFonts w:cs="Calibri"/>
          <w:sz w:val="18"/>
          <w:szCs w:val="20"/>
        </w:rPr>
        <w:t xml:space="preserve">NPD </w:t>
      </w:r>
      <w:r>
        <w:rPr>
          <w:rFonts w:cs="Calibri"/>
          <w:sz w:val="18"/>
          <w:szCs w:val="20"/>
        </w:rPr>
        <w:t xml:space="preserve"> —</w:t>
      </w:r>
      <w:r w:rsidRPr="00303FBB">
        <w:rPr>
          <w:rFonts w:cs="Calibri"/>
          <w:sz w:val="18"/>
          <w:szCs w:val="20"/>
        </w:rPr>
        <w:t xml:space="preserve"> właściwość użytkowa nie określana (ang. </w:t>
      </w:r>
      <w:r w:rsidRPr="00303FBB">
        <w:rPr>
          <w:rFonts w:cs="Calibri"/>
          <w:i/>
          <w:sz w:val="18"/>
          <w:szCs w:val="20"/>
        </w:rPr>
        <w:t>No Performance Determined</w:t>
      </w:r>
      <w:r w:rsidRPr="00303FBB">
        <w:rPr>
          <w:rFonts w:cs="Calibri"/>
          <w:sz w:val="18"/>
          <w:szCs w:val="20"/>
        </w:rPr>
        <w:t xml:space="preserve">; producent może jej nie określać), TBR </w:t>
      </w:r>
      <w:r>
        <w:rPr>
          <w:rFonts w:cs="Calibri"/>
          <w:sz w:val="18"/>
          <w:szCs w:val="20"/>
        </w:rPr>
        <w:t>—</w:t>
      </w:r>
      <w:r w:rsidRPr="00303FBB">
        <w:rPr>
          <w:rFonts w:cs="Calibri"/>
          <w:sz w:val="18"/>
          <w:szCs w:val="20"/>
        </w:rPr>
        <w:t xml:space="preserve"> do zadeklarowania (ang.</w:t>
      </w:r>
      <w:r w:rsidRPr="00303FBB">
        <w:rPr>
          <w:rFonts w:cs="Calibri"/>
          <w:i/>
          <w:sz w:val="18"/>
          <w:szCs w:val="20"/>
        </w:rPr>
        <w:t xml:space="preserve"> To Be Reported</w:t>
      </w:r>
      <w:r w:rsidRPr="00303FBB">
        <w:rPr>
          <w:rFonts w:cs="Calibri"/>
          <w:sz w:val="18"/>
          <w:szCs w:val="20"/>
        </w:rPr>
        <w:t>; producent może dostarczyć odpowiednie informacje, jednak nie jest do tego zobowiązany),</w:t>
      </w:r>
    </w:p>
    <w:p w:rsidR="002F5D21" w:rsidRPr="00303FBB" w:rsidRDefault="002F5D21" w:rsidP="002E3C57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  <w:sz w:val="18"/>
          <w:szCs w:val="20"/>
        </w:rPr>
      </w:pPr>
      <w:r w:rsidRPr="00303FBB">
        <w:rPr>
          <w:rFonts w:cs="Calibri"/>
          <w:sz w:val="18"/>
          <w:szCs w:val="20"/>
        </w:rPr>
        <w:t xml:space="preserve">MOP </w:t>
      </w:r>
      <w:r w:rsidRPr="00303FBB">
        <w:rPr>
          <w:rFonts w:cs="Calibri"/>
          <w:sz w:val="18"/>
          <w:szCs w:val="20"/>
        </w:rPr>
        <w:tab/>
      </w:r>
      <w:r>
        <w:rPr>
          <w:rFonts w:cs="Calibri"/>
          <w:sz w:val="18"/>
          <w:szCs w:val="20"/>
        </w:rPr>
        <w:t>—</w:t>
      </w:r>
      <w:r w:rsidRPr="00303FBB">
        <w:rPr>
          <w:rFonts w:cs="Calibri"/>
          <w:sz w:val="18"/>
          <w:szCs w:val="20"/>
        </w:rPr>
        <w:t xml:space="preserve"> miejsce obsługi podróżnych.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1.5. Ogólne wymagania dotyczące robót</w:t>
      </w:r>
    </w:p>
    <w:p w:rsidR="002F5D21" w:rsidRDefault="002F5D21" w:rsidP="00360D8C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Ogólne wymagania dotyczące robót podano w STWIOR NR 1 ( D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M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00.00.00)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 xml:space="preserve">„Wymagania ogólne". 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Default="002F5D21" w:rsidP="002E3C5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2E3C57">
        <w:rPr>
          <w:rFonts w:cs="Calibri"/>
          <w:b/>
          <w:sz w:val="20"/>
          <w:szCs w:val="20"/>
        </w:rPr>
        <w:t>2. MATERIAŁY</w:t>
      </w:r>
    </w:p>
    <w:p w:rsidR="002F5D21" w:rsidRPr="002E3C57" w:rsidRDefault="002F5D21" w:rsidP="002E3C5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2.1. Ogólne wymagania dotyczące materiałów</w:t>
      </w:r>
    </w:p>
    <w:p w:rsidR="002F5D21" w:rsidRPr="00D54E7E" w:rsidRDefault="002F5D21" w:rsidP="00360D8C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Ogólne wymagania dotyczące materiałów, ich pozyskiwania i składowania, podano w SST D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M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00.00.00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„Wymagania ogólne".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2E3C5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2.2. Lepiszcza asfaltowe</w:t>
      </w:r>
    </w:p>
    <w:p w:rsidR="002F5D21" w:rsidRPr="00D54E7E" w:rsidRDefault="002F5D21" w:rsidP="00360D8C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Należy stosować asfalty drogowe wg PN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EN 12591 [27] Rodzaje s</w:t>
      </w:r>
      <w:r>
        <w:rPr>
          <w:rFonts w:cs="Calibri"/>
          <w:sz w:val="20"/>
          <w:szCs w:val="20"/>
        </w:rPr>
        <w:t xml:space="preserve">tosowanych lepiszcz asfaltowych </w:t>
      </w:r>
      <w:r w:rsidRPr="00D54E7E">
        <w:rPr>
          <w:rFonts w:cs="Calibri"/>
          <w:sz w:val="20"/>
          <w:szCs w:val="20"/>
        </w:rPr>
        <w:t xml:space="preserve">podano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w tablicy 2.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i/>
          <w:sz w:val="18"/>
          <w:szCs w:val="20"/>
        </w:rPr>
      </w:pPr>
      <w:r w:rsidRPr="00DC538C">
        <w:rPr>
          <w:rFonts w:cs="Calibri"/>
          <w:i/>
          <w:sz w:val="18"/>
          <w:szCs w:val="20"/>
        </w:rPr>
        <w:t>Tablica 2. Zalecane lepiszcza asfaltowe do warstwy wiążącej i wyrównawczej z betonu asfaltowego</w:t>
      </w:r>
    </w:p>
    <w:p w:rsidR="002F5D21" w:rsidRPr="00DC538C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i/>
          <w:sz w:val="18"/>
          <w:szCs w:val="20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87"/>
        <w:gridCol w:w="2287"/>
        <w:gridCol w:w="2286"/>
        <w:gridCol w:w="2286"/>
      </w:tblGrid>
      <w:tr w:rsidR="002F5D21" w:rsidRPr="0094643B" w:rsidTr="0094643B">
        <w:tc>
          <w:tcPr>
            <w:tcW w:w="2287" w:type="dxa"/>
            <w:vMerge w:val="restart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Kategoria ruchu</w:t>
            </w:r>
          </w:p>
        </w:tc>
        <w:tc>
          <w:tcPr>
            <w:tcW w:w="2287" w:type="dxa"/>
            <w:vMerge w:val="restart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Mieszanka</w:t>
            </w:r>
          </w:p>
        </w:tc>
        <w:tc>
          <w:tcPr>
            <w:tcW w:w="4572" w:type="dxa"/>
            <w:gridSpan w:val="2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Gatunek lepiszcza</w:t>
            </w:r>
          </w:p>
        </w:tc>
      </w:tr>
      <w:tr w:rsidR="002F5D21" w:rsidRPr="0094643B" w:rsidTr="0094643B">
        <w:tc>
          <w:tcPr>
            <w:tcW w:w="2287" w:type="dxa"/>
            <w:vMerge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  <w:tc>
          <w:tcPr>
            <w:tcW w:w="2287" w:type="dxa"/>
            <w:vMerge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  <w:tc>
          <w:tcPr>
            <w:tcW w:w="2286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asfalt drogowy</w:t>
            </w:r>
          </w:p>
        </w:tc>
        <w:tc>
          <w:tcPr>
            <w:tcW w:w="2286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polimeroasfalt</w:t>
            </w:r>
          </w:p>
        </w:tc>
      </w:tr>
      <w:tr w:rsidR="002F5D21" w:rsidRPr="0094643B" w:rsidTr="0094643B">
        <w:trPr>
          <w:trHeight w:val="329"/>
        </w:trPr>
        <w:tc>
          <w:tcPr>
            <w:tcW w:w="2287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KR1—KR2</w:t>
            </w:r>
          </w:p>
        </w:tc>
        <w:tc>
          <w:tcPr>
            <w:tcW w:w="2287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AC11W</w:t>
            </w:r>
          </w:p>
        </w:tc>
        <w:tc>
          <w:tcPr>
            <w:tcW w:w="2286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50/70</w:t>
            </w:r>
          </w:p>
        </w:tc>
        <w:tc>
          <w:tcPr>
            <w:tcW w:w="2286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</w:tr>
    </w:tbl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Asfalty drogowe powinny spełniać wymagania podane w tablicy 3.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C50739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i/>
          <w:sz w:val="18"/>
          <w:szCs w:val="20"/>
        </w:rPr>
      </w:pPr>
      <w:r w:rsidRPr="00C50739">
        <w:rPr>
          <w:rFonts w:cs="Calibri"/>
          <w:i/>
          <w:sz w:val="18"/>
          <w:szCs w:val="20"/>
        </w:rPr>
        <w:t>Tablica 3. Wymagania wobec asfaltów drogowych wg PN</w:t>
      </w:r>
      <w:r>
        <w:rPr>
          <w:rFonts w:cs="Calibri"/>
          <w:i/>
          <w:sz w:val="18"/>
          <w:szCs w:val="20"/>
        </w:rPr>
        <w:t>—</w:t>
      </w:r>
      <w:r w:rsidRPr="00C50739">
        <w:rPr>
          <w:rFonts w:cs="Calibri"/>
          <w:i/>
          <w:sz w:val="18"/>
          <w:szCs w:val="20"/>
        </w:rPr>
        <w:t>EN 12591 [27]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9"/>
        <w:gridCol w:w="3941"/>
        <w:gridCol w:w="851"/>
        <w:gridCol w:w="1842"/>
        <w:gridCol w:w="1134"/>
        <w:gridCol w:w="959"/>
      </w:tblGrid>
      <w:tr w:rsidR="002F5D21" w:rsidRPr="0094643B" w:rsidTr="0094643B">
        <w:tc>
          <w:tcPr>
            <w:tcW w:w="419" w:type="dxa"/>
            <w:vMerge w:val="restart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Lp.</w:t>
            </w:r>
          </w:p>
        </w:tc>
        <w:tc>
          <w:tcPr>
            <w:tcW w:w="4792" w:type="dxa"/>
            <w:gridSpan w:val="2"/>
            <w:vMerge w:val="restart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Właściwości</w:t>
            </w:r>
          </w:p>
        </w:tc>
        <w:tc>
          <w:tcPr>
            <w:tcW w:w="1842" w:type="dxa"/>
            <w:vMerge w:val="restart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Metoda</w:t>
            </w:r>
          </w:p>
        </w:tc>
        <w:tc>
          <w:tcPr>
            <w:tcW w:w="2093" w:type="dxa"/>
            <w:gridSpan w:val="2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Rodzaj asfaltu</w:t>
            </w:r>
          </w:p>
        </w:tc>
      </w:tr>
      <w:tr w:rsidR="002F5D21" w:rsidRPr="0094643B" w:rsidTr="0094643B">
        <w:tc>
          <w:tcPr>
            <w:tcW w:w="419" w:type="dxa"/>
            <w:vMerge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  <w:tc>
          <w:tcPr>
            <w:tcW w:w="4792" w:type="dxa"/>
            <w:gridSpan w:val="2"/>
            <w:vMerge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35/50</w:t>
            </w:r>
          </w:p>
        </w:tc>
        <w:tc>
          <w:tcPr>
            <w:tcW w:w="95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50/70</w:t>
            </w:r>
          </w:p>
        </w:tc>
      </w:tr>
      <w:tr w:rsidR="002F5D21" w:rsidRPr="0094643B" w:rsidTr="0094643B">
        <w:tc>
          <w:tcPr>
            <w:tcW w:w="41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2"/>
                <w:szCs w:val="20"/>
              </w:rPr>
            </w:pPr>
            <w:r w:rsidRPr="0094643B">
              <w:rPr>
                <w:rFonts w:cs="Calibri"/>
                <w:sz w:val="12"/>
                <w:szCs w:val="20"/>
              </w:rPr>
              <w:t>1</w:t>
            </w:r>
          </w:p>
        </w:tc>
        <w:tc>
          <w:tcPr>
            <w:tcW w:w="4792" w:type="dxa"/>
            <w:gridSpan w:val="2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2"/>
                <w:szCs w:val="20"/>
              </w:rPr>
            </w:pPr>
            <w:r w:rsidRPr="0094643B">
              <w:rPr>
                <w:rFonts w:cs="Calibri"/>
                <w:sz w:val="12"/>
                <w:szCs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2"/>
                <w:szCs w:val="20"/>
              </w:rPr>
            </w:pPr>
            <w:r w:rsidRPr="0094643B">
              <w:rPr>
                <w:rFonts w:cs="Calibri"/>
                <w:sz w:val="12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2"/>
                <w:szCs w:val="20"/>
              </w:rPr>
            </w:pPr>
            <w:r w:rsidRPr="0094643B">
              <w:rPr>
                <w:rFonts w:cs="Calibri"/>
                <w:sz w:val="12"/>
                <w:szCs w:val="20"/>
              </w:rPr>
              <w:t>4</w:t>
            </w:r>
          </w:p>
        </w:tc>
        <w:tc>
          <w:tcPr>
            <w:tcW w:w="95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2"/>
                <w:szCs w:val="20"/>
              </w:rPr>
            </w:pPr>
            <w:r w:rsidRPr="0094643B">
              <w:rPr>
                <w:rFonts w:cs="Calibri"/>
                <w:sz w:val="12"/>
                <w:szCs w:val="20"/>
              </w:rPr>
              <w:t>5</w:t>
            </w:r>
          </w:p>
        </w:tc>
      </w:tr>
      <w:tr w:rsidR="002F5D21" w:rsidRPr="0094643B" w:rsidTr="0094643B">
        <w:tc>
          <w:tcPr>
            <w:tcW w:w="9146" w:type="dxa"/>
            <w:gridSpan w:val="6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WŁAŚCIWOŚCI OBLIGATORYJNE</w:t>
            </w:r>
          </w:p>
        </w:tc>
      </w:tr>
      <w:tr w:rsidR="002F5D21" w:rsidRPr="0094643B" w:rsidTr="0094643B">
        <w:tc>
          <w:tcPr>
            <w:tcW w:w="41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1.</w:t>
            </w:r>
          </w:p>
        </w:tc>
        <w:tc>
          <w:tcPr>
            <w:tcW w:w="394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 xml:space="preserve">Penetracja w </w:t>
            </w:r>
            <w:smartTag w:uri="urn:schemas-microsoft-com:office:smarttags" w:element="metricconverter">
              <w:smartTagPr>
                <w:attr w:name="ProductID" w:val="25°C"/>
              </w:smartTagPr>
              <w:r w:rsidRPr="0094643B">
                <w:rPr>
                  <w:rFonts w:cs="Calibri"/>
                  <w:sz w:val="16"/>
                  <w:szCs w:val="20"/>
                </w:rPr>
                <w:t>25°C</w:t>
              </w:r>
            </w:smartTag>
          </w:p>
        </w:tc>
        <w:tc>
          <w:tcPr>
            <w:tcW w:w="85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smartTag w:uri="urn:schemas-microsoft-com:office:smarttags" w:element="metricconverter">
              <w:smartTagPr>
                <w:attr w:name="ProductID" w:val="0,1 mm"/>
              </w:smartTagPr>
              <w:r w:rsidRPr="0094643B">
                <w:rPr>
                  <w:rFonts w:cs="Calibri"/>
                  <w:sz w:val="16"/>
                  <w:szCs w:val="20"/>
                </w:rPr>
                <w:t>0,1 mm</w:t>
              </w:r>
            </w:smartTag>
          </w:p>
        </w:tc>
        <w:tc>
          <w:tcPr>
            <w:tcW w:w="1842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175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PN—EN 1426 [21]</w:t>
            </w:r>
          </w:p>
        </w:tc>
        <w:tc>
          <w:tcPr>
            <w:tcW w:w="113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35—50</w:t>
            </w:r>
          </w:p>
        </w:tc>
        <w:tc>
          <w:tcPr>
            <w:tcW w:w="95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50—70</w:t>
            </w:r>
          </w:p>
        </w:tc>
      </w:tr>
      <w:tr w:rsidR="002F5D21" w:rsidRPr="0094643B" w:rsidTr="0094643B">
        <w:tc>
          <w:tcPr>
            <w:tcW w:w="41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2.</w:t>
            </w:r>
          </w:p>
        </w:tc>
        <w:tc>
          <w:tcPr>
            <w:tcW w:w="394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Temperatura mięknienia</w:t>
            </w:r>
          </w:p>
        </w:tc>
        <w:tc>
          <w:tcPr>
            <w:tcW w:w="85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°C</w:t>
            </w:r>
          </w:p>
        </w:tc>
        <w:tc>
          <w:tcPr>
            <w:tcW w:w="1842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175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PN—EN 1427 [22]</w:t>
            </w:r>
          </w:p>
        </w:tc>
        <w:tc>
          <w:tcPr>
            <w:tcW w:w="113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50—58</w:t>
            </w:r>
          </w:p>
        </w:tc>
        <w:tc>
          <w:tcPr>
            <w:tcW w:w="95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46—54</w:t>
            </w:r>
          </w:p>
        </w:tc>
      </w:tr>
      <w:tr w:rsidR="002F5D21" w:rsidRPr="0094643B" w:rsidTr="0094643B">
        <w:tc>
          <w:tcPr>
            <w:tcW w:w="41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3.</w:t>
            </w:r>
          </w:p>
        </w:tc>
        <w:tc>
          <w:tcPr>
            <w:tcW w:w="394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Temperatura zapłonu</w:t>
            </w:r>
          </w:p>
        </w:tc>
        <w:tc>
          <w:tcPr>
            <w:tcW w:w="85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°C</w:t>
            </w:r>
          </w:p>
        </w:tc>
        <w:tc>
          <w:tcPr>
            <w:tcW w:w="1842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175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PN—EN 22592 [62]</w:t>
            </w:r>
          </w:p>
        </w:tc>
        <w:tc>
          <w:tcPr>
            <w:tcW w:w="113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240</w:t>
            </w:r>
          </w:p>
        </w:tc>
        <w:tc>
          <w:tcPr>
            <w:tcW w:w="95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230</w:t>
            </w:r>
          </w:p>
        </w:tc>
      </w:tr>
      <w:tr w:rsidR="002F5D21" w:rsidRPr="0094643B" w:rsidTr="0094643B">
        <w:tc>
          <w:tcPr>
            <w:tcW w:w="41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4.</w:t>
            </w:r>
          </w:p>
        </w:tc>
        <w:tc>
          <w:tcPr>
            <w:tcW w:w="394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Zawartość składników rozpuszczalnych</w:t>
            </w:r>
          </w:p>
        </w:tc>
        <w:tc>
          <w:tcPr>
            <w:tcW w:w="85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% m/m</w:t>
            </w:r>
          </w:p>
        </w:tc>
        <w:tc>
          <w:tcPr>
            <w:tcW w:w="1842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175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PN—EN 12592 [28]</w:t>
            </w:r>
          </w:p>
        </w:tc>
        <w:tc>
          <w:tcPr>
            <w:tcW w:w="113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99</w:t>
            </w:r>
          </w:p>
        </w:tc>
        <w:tc>
          <w:tcPr>
            <w:tcW w:w="95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99</w:t>
            </w:r>
          </w:p>
        </w:tc>
      </w:tr>
      <w:tr w:rsidR="002F5D21" w:rsidRPr="0094643B" w:rsidTr="0094643B">
        <w:tc>
          <w:tcPr>
            <w:tcW w:w="41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5.</w:t>
            </w:r>
          </w:p>
        </w:tc>
        <w:tc>
          <w:tcPr>
            <w:tcW w:w="394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 xml:space="preserve">Zmiany masy po starzeniu </w:t>
            </w:r>
            <w:r w:rsidRPr="0094643B">
              <w:rPr>
                <w:rFonts w:cs="Calibri"/>
                <w:sz w:val="16"/>
                <w:szCs w:val="20"/>
              </w:rPr>
              <w:br/>
              <w:t>(ubytek lub przyrost) nie więcej niż,</w:t>
            </w:r>
          </w:p>
        </w:tc>
        <w:tc>
          <w:tcPr>
            <w:tcW w:w="85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% m/m</w:t>
            </w:r>
          </w:p>
        </w:tc>
        <w:tc>
          <w:tcPr>
            <w:tcW w:w="1842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175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PN—EN 12607—1 [31]</w:t>
            </w:r>
          </w:p>
        </w:tc>
        <w:tc>
          <w:tcPr>
            <w:tcW w:w="113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0,5</w:t>
            </w:r>
          </w:p>
        </w:tc>
        <w:tc>
          <w:tcPr>
            <w:tcW w:w="95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0,5</w:t>
            </w:r>
          </w:p>
        </w:tc>
      </w:tr>
      <w:tr w:rsidR="002F5D21" w:rsidRPr="0094643B" w:rsidTr="0094643B">
        <w:tc>
          <w:tcPr>
            <w:tcW w:w="41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6.</w:t>
            </w:r>
          </w:p>
        </w:tc>
        <w:tc>
          <w:tcPr>
            <w:tcW w:w="394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Pozostała penetracja po starzeniu, nie mniej niż</w:t>
            </w:r>
          </w:p>
        </w:tc>
        <w:tc>
          <w:tcPr>
            <w:tcW w:w="85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%</w:t>
            </w:r>
          </w:p>
        </w:tc>
        <w:tc>
          <w:tcPr>
            <w:tcW w:w="1842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175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PN—EN 1426 [21]</w:t>
            </w:r>
          </w:p>
        </w:tc>
        <w:tc>
          <w:tcPr>
            <w:tcW w:w="113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53</w:t>
            </w:r>
          </w:p>
        </w:tc>
        <w:tc>
          <w:tcPr>
            <w:tcW w:w="95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50</w:t>
            </w:r>
          </w:p>
        </w:tc>
      </w:tr>
      <w:tr w:rsidR="002F5D21" w:rsidRPr="0094643B" w:rsidTr="0094643B">
        <w:tc>
          <w:tcPr>
            <w:tcW w:w="41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7.</w:t>
            </w:r>
          </w:p>
        </w:tc>
        <w:tc>
          <w:tcPr>
            <w:tcW w:w="394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Temperatura mięknienia po starzeniu, nie mniej niż</w:t>
            </w:r>
          </w:p>
        </w:tc>
        <w:tc>
          <w:tcPr>
            <w:tcW w:w="85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°C</w:t>
            </w:r>
          </w:p>
        </w:tc>
        <w:tc>
          <w:tcPr>
            <w:tcW w:w="1842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175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PN—EN 1427 [22]</w:t>
            </w:r>
          </w:p>
        </w:tc>
        <w:tc>
          <w:tcPr>
            <w:tcW w:w="113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52</w:t>
            </w:r>
          </w:p>
        </w:tc>
        <w:tc>
          <w:tcPr>
            <w:tcW w:w="95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48</w:t>
            </w:r>
          </w:p>
        </w:tc>
      </w:tr>
      <w:tr w:rsidR="002F5D21" w:rsidRPr="0094643B" w:rsidTr="0094643B">
        <w:tc>
          <w:tcPr>
            <w:tcW w:w="9146" w:type="dxa"/>
            <w:gridSpan w:val="6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WŁAŚCIWOŚCI SPECJALNE KRAJOWE</w:t>
            </w:r>
          </w:p>
        </w:tc>
      </w:tr>
      <w:tr w:rsidR="002F5D21" w:rsidRPr="0094643B" w:rsidTr="0094643B">
        <w:tc>
          <w:tcPr>
            <w:tcW w:w="41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8.</w:t>
            </w:r>
          </w:p>
        </w:tc>
        <w:tc>
          <w:tcPr>
            <w:tcW w:w="394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Zawartość parafiny</w:t>
            </w:r>
          </w:p>
        </w:tc>
        <w:tc>
          <w:tcPr>
            <w:tcW w:w="85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%</w:t>
            </w:r>
          </w:p>
        </w:tc>
        <w:tc>
          <w:tcPr>
            <w:tcW w:w="1842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175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PN—EN 12606—1 [30]</w:t>
            </w:r>
          </w:p>
        </w:tc>
        <w:tc>
          <w:tcPr>
            <w:tcW w:w="113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2,2</w:t>
            </w:r>
          </w:p>
        </w:tc>
        <w:tc>
          <w:tcPr>
            <w:tcW w:w="95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2,2</w:t>
            </w:r>
          </w:p>
        </w:tc>
      </w:tr>
      <w:tr w:rsidR="002F5D21" w:rsidRPr="0094643B" w:rsidTr="0094643B">
        <w:tc>
          <w:tcPr>
            <w:tcW w:w="41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9.</w:t>
            </w:r>
          </w:p>
        </w:tc>
        <w:tc>
          <w:tcPr>
            <w:tcW w:w="394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Wzrost temp. mięknienia po starzeniu się, nie więcej niż</w:t>
            </w:r>
          </w:p>
        </w:tc>
        <w:tc>
          <w:tcPr>
            <w:tcW w:w="85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°C</w:t>
            </w:r>
          </w:p>
        </w:tc>
        <w:tc>
          <w:tcPr>
            <w:tcW w:w="1842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175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PN—EN 1427 [22]</w:t>
            </w:r>
          </w:p>
        </w:tc>
        <w:tc>
          <w:tcPr>
            <w:tcW w:w="113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8</w:t>
            </w:r>
          </w:p>
        </w:tc>
        <w:tc>
          <w:tcPr>
            <w:tcW w:w="95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9</w:t>
            </w:r>
          </w:p>
        </w:tc>
      </w:tr>
      <w:tr w:rsidR="002F5D21" w:rsidRPr="0094643B" w:rsidTr="0094643B">
        <w:tc>
          <w:tcPr>
            <w:tcW w:w="41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10.</w:t>
            </w:r>
          </w:p>
        </w:tc>
        <w:tc>
          <w:tcPr>
            <w:tcW w:w="394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Temperatura łamliwości Fraassa, nie więcej niż</w:t>
            </w:r>
          </w:p>
        </w:tc>
        <w:tc>
          <w:tcPr>
            <w:tcW w:w="85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°C</w:t>
            </w:r>
          </w:p>
        </w:tc>
        <w:tc>
          <w:tcPr>
            <w:tcW w:w="1842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175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PN—EN 12593 [29]</w:t>
            </w:r>
          </w:p>
        </w:tc>
        <w:tc>
          <w:tcPr>
            <w:tcW w:w="113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—5</w:t>
            </w:r>
          </w:p>
        </w:tc>
        <w:tc>
          <w:tcPr>
            <w:tcW w:w="95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—8</w:t>
            </w:r>
          </w:p>
        </w:tc>
      </w:tr>
    </w:tbl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306A09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i/>
          <w:sz w:val="18"/>
          <w:szCs w:val="20"/>
        </w:rPr>
      </w:pPr>
      <w:r w:rsidRPr="00306A09">
        <w:rPr>
          <w:rFonts w:cs="Calibri"/>
          <w:i/>
          <w:sz w:val="18"/>
          <w:szCs w:val="20"/>
        </w:rPr>
        <w:t>Tablica 4. Wymagania wobec asfaltów modyfikowanych polimerami (polimeroasfaltów) wg PN</w:t>
      </w:r>
      <w:r>
        <w:rPr>
          <w:rFonts w:cs="Calibri"/>
          <w:i/>
          <w:sz w:val="18"/>
          <w:szCs w:val="20"/>
        </w:rPr>
        <w:t>—</w:t>
      </w:r>
      <w:r w:rsidRPr="00306A09">
        <w:rPr>
          <w:rFonts w:cs="Calibri"/>
          <w:i/>
          <w:sz w:val="18"/>
          <w:szCs w:val="20"/>
        </w:rPr>
        <w:t>EN 14023 [59]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Default="002F5D21" w:rsidP="00360D8C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cs="Calibri"/>
          <w:sz w:val="20"/>
          <w:szCs w:val="20"/>
        </w:rPr>
      </w:pPr>
      <w:r w:rsidRPr="00A22577">
        <w:rPr>
          <w:rFonts w:cs="Calibri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pt;height:657.75pt">
            <v:imagedata r:id="rId7" o:title=""/>
          </v:shape>
        </w:pic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Default="002F5D21" w:rsidP="00360D8C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Składowanie asfaltu drogowego powinno się odbywać w zbiornikach, wykluczających zanieczyszczenie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asfaltu i wyposażonych w system grzewczy pośredni (bez kontaktu asfaltu z przewodami grzewczymi). Zbiornik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 xml:space="preserve">roboczy otaczarki powinien być izolowany termicznie, posiadać automatyczny system grzewczy </w:t>
      </w:r>
      <w:r>
        <w:rPr>
          <w:rFonts w:cs="Calibri"/>
          <w:sz w:val="20"/>
          <w:szCs w:val="20"/>
        </w:rPr>
        <w:br/>
        <w:t>z</w:t>
      </w:r>
      <w:r w:rsidRPr="00D54E7E">
        <w:rPr>
          <w:rFonts w:cs="Calibri"/>
          <w:sz w:val="20"/>
          <w:szCs w:val="20"/>
        </w:rPr>
        <w:t xml:space="preserve"> tolerancją ± </w:t>
      </w:r>
      <w:smartTag w:uri="urn:schemas-microsoft-com:office:smarttags" w:element="metricconverter">
        <w:smartTagPr>
          <w:attr w:name="ProductID" w:val="5°C"/>
        </w:smartTagPr>
        <w:r w:rsidRPr="00D54E7E">
          <w:rPr>
            <w:rFonts w:cs="Calibri"/>
            <w:sz w:val="20"/>
            <w:szCs w:val="20"/>
          </w:rPr>
          <w:t>5°C</w:t>
        </w:r>
      </w:smartTag>
      <w:r w:rsidRPr="00D54E7E">
        <w:rPr>
          <w:rFonts w:cs="Calibri"/>
          <w:sz w:val="20"/>
          <w:szCs w:val="20"/>
        </w:rPr>
        <w:t xml:space="preserve"> oraz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układ cyrkulacji asfaltu.</w:t>
      </w:r>
    </w:p>
    <w:p w:rsidR="002F5D21" w:rsidRPr="00D54E7E" w:rsidRDefault="002F5D21" w:rsidP="00360D8C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</w:p>
    <w:p w:rsidR="002F5D21" w:rsidRPr="00D54E7E" w:rsidRDefault="002F5D21" w:rsidP="00360D8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2.3. Kruszywo</w:t>
      </w:r>
    </w:p>
    <w:p w:rsidR="002F5D21" w:rsidRPr="00D54E7E" w:rsidRDefault="002F5D21" w:rsidP="00360D8C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Do warstwy wiążącej i wyrównawczej z betonu asfaltowego należy stosować kruszywo według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EN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13043 [44] i WT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1 Kruszywa 2010 [64], obejmujące kruszywo grube</w:t>
      </w:r>
      <w:r>
        <w:rPr>
          <w:rFonts w:cs="Calibri"/>
          <w:sz w:val="20"/>
          <w:szCs w:val="20"/>
        </w:rPr>
        <w:t>,</w:t>
      </w:r>
      <w:r w:rsidRPr="00D54E7E">
        <w:rPr>
          <w:rFonts w:cs="Calibri"/>
          <w:sz w:val="20"/>
          <w:szCs w:val="20"/>
        </w:rPr>
        <w:t xml:space="preserve"> kruszywo drobne i wypełniacz. Kruszywa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powinny spełniać wymagania podane w WT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1 Kruszywa 2010 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tablica 8, 9,10, 11.</w:t>
      </w:r>
    </w:p>
    <w:p w:rsidR="002F5D21" w:rsidRDefault="002F5D21" w:rsidP="00360D8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Składowanie kruszywa powinno się odbywać w warunkach zabezpieczających je przed zanieczyszczeniem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i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 xml:space="preserve">zmieszaniem z kruszywem o innym wymiarze lub pochodzeniu. Podłoże składowiska musi być równe, utwardzone </w:t>
      </w:r>
      <w:r>
        <w:rPr>
          <w:rFonts w:cs="Calibri"/>
          <w:sz w:val="20"/>
          <w:szCs w:val="20"/>
        </w:rPr>
        <w:t xml:space="preserve">i </w:t>
      </w:r>
      <w:r w:rsidRPr="00D54E7E">
        <w:rPr>
          <w:rFonts w:cs="Calibri"/>
          <w:sz w:val="20"/>
          <w:szCs w:val="20"/>
        </w:rPr>
        <w:t xml:space="preserve">odwodnione. Składowanie wypełniacza powinno się odbywać w silosach wyposażonych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w urządzenia do aeracji.</w:t>
      </w:r>
    </w:p>
    <w:p w:rsidR="002F5D21" w:rsidRPr="00D54E7E" w:rsidRDefault="002F5D21" w:rsidP="00360D8C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360D8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2.4. Środek adhezyjny</w:t>
      </w:r>
    </w:p>
    <w:p w:rsidR="002F5D21" w:rsidRPr="00D54E7E" w:rsidRDefault="002F5D21" w:rsidP="004E0ECB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W celu poprawy powinowactwa fizykochemicznego lepiszcza asfaltowego i kruszywa, gwarantującego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odpowiednią przyczepność (adhezję) lepiszcza do kruszywa i odporność mieszanki mi</w:t>
      </w:r>
      <w:r>
        <w:rPr>
          <w:rFonts w:cs="Calibri"/>
          <w:sz w:val="20"/>
          <w:szCs w:val="20"/>
        </w:rPr>
        <w:t xml:space="preserve">neralno—asfaltowej na działanie </w:t>
      </w:r>
      <w:r w:rsidRPr="00D54E7E">
        <w:rPr>
          <w:rFonts w:cs="Calibri"/>
          <w:sz w:val="20"/>
          <w:szCs w:val="20"/>
        </w:rPr>
        <w:t>wody, należy dobrać i zastosować środek adhezyjny, tak aby dla konkretnej pary kruszywo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lepiszcze wartość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przyczepności określona według PN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EN 12697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11, metoda C [34] wynosiła co najmniej 80%.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Składowanie środka adhezyjnego jest dozwolone tylko w oryginalnych opakowaniach producenta.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360D8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2.5. Materiały do uszczelnienia połączeń i krawędzi</w:t>
      </w:r>
    </w:p>
    <w:p w:rsidR="002F5D21" w:rsidRPr="00D54E7E" w:rsidRDefault="002F5D21" w:rsidP="00360D8C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Do uszczelnienia połączeń technologicznych (tj. złączy poprzecznych z tego samego materiału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wykonywanego w różnym czasie oraz spoin stanowiących połączenia różnych materiałów lub połączenie warstwy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asfaltowej z urządzeniami obcymi w nawierzchni lub ją ograniczającymi, należy stosować: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a) materiały termoplastyczne, jak taśmy asfaltowe, pasty itp. według norm lub aprobat technicznych</w:t>
      </w:r>
    </w:p>
    <w:p w:rsidR="002F5D21" w:rsidRPr="00D54E7E" w:rsidRDefault="002F5D21" w:rsidP="00567DEA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Grubość materiału termoplastycznego do spoiny powinna wynosić:</w:t>
      </w:r>
    </w:p>
    <w:p w:rsidR="002F5D21" w:rsidRPr="00567DEA" w:rsidRDefault="002F5D21" w:rsidP="00567DEA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67DEA">
        <w:rPr>
          <w:rFonts w:cs="Calibri"/>
          <w:sz w:val="20"/>
          <w:szCs w:val="20"/>
        </w:rPr>
        <w:t>nie mniej niż 10 mm przy grubości warstwy technologicznej do 2,5 cm,</w:t>
      </w:r>
    </w:p>
    <w:p w:rsidR="002F5D21" w:rsidRPr="00567DEA" w:rsidRDefault="002F5D21" w:rsidP="00567DEA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67DEA">
        <w:rPr>
          <w:rFonts w:cs="Calibri"/>
          <w:sz w:val="20"/>
          <w:szCs w:val="20"/>
        </w:rPr>
        <w:t>nie mniej niż 15 mm przy grubości warstwy technologicznej większej niż 2,5 cm.</w:t>
      </w:r>
    </w:p>
    <w:p w:rsidR="002F5D21" w:rsidRPr="00D54E7E" w:rsidRDefault="002F5D21" w:rsidP="00567DEA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Składowanie materiałów termoplastycznych jest dozwolone tylko w oryginalnych opakowaniach producenta,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w warunkach określonych w aprobacie technicznej.</w:t>
      </w:r>
    </w:p>
    <w:p w:rsidR="002F5D21" w:rsidRDefault="002F5D21" w:rsidP="00567DEA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Do uszczelnienia krawędzi należy stosować asfalt drogowy wg PN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EN 12591 [27], asfalt modyfikowany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polimerami wg PN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EN 14023 [59] „metodą na gorąco". Dopuszcza się inne rodzaje lepiszcza wg no</w:t>
      </w:r>
      <w:r>
        <w:rPr>
          <w:rFonts w:cs="Calibri"/>
          <w:sz w:val="20"/>
          <w:szCs w:val="20"/>
        </w:rPr>
        <w:t xml:space="preserve">rm lub aprobat </w:t>
      </w:r>
      <w:r w:rsidRPr="00D54E7E">
        <w:rPr>
          <w:rFonts w:cs="Calibri"/>
          <w:sz w:val="20"/>
          <w:szCs w:val="20"/>
        </w:rPr>
        <w:t>technicznych.</w:t>
      </w:r>
    </w:p>
    <w:p w:rsidR="002F5D21" w:rsidRPr="00D54E7E" w:rsidRDefault="002F5D21" w:rsidP="00567DEA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</w:p>
    <w:p w:rsidR="002F5D21" w:rsidRPr="00D54E7E" w:rsidRDefault="002F5D21" w:rsidP="00567DE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2.6. Materiały do złączenia warstw konstrukcji</w:t>
      </w:r>
    </w:p>
    <w:p w:rsidR="002F5D21" w:rsidRDefault="002F5D21" w:rsidP="00567DEA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Do złączania warstw konstrukcji nawierzchni (warstwa wiążąca z warstwą ścieralną) należy stosować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kationowe emulsje asfaltowe lub kationowe emulsje modyfikowane polimerami według PN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EN 13808 [58]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i WT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3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Emulsje asfaltowe 2009 punkt 5.1 tablica 2 i tablica 3 [66].</w:t>
      </w:r>
    </w:p>
    <w:p w:rsidR="002F5D21" w:rsidRDefault="002F5D21" w:rsidP="00567DEA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Emulsję asfaltową można składować w opakowaniach transportowych lub w stacjonarnych zbiornikach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pionowych z nalewaniem od dna. Nie należy nalewać emulsji do opakowań i zbiorników zanieczyszczonych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materiałami mineralnymi.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567DEA" w:rsidRDefault="002F5D21" w:rsidP="00567DE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567DEA">
        <w:rPr>
          <w:rFonts w:cs="Calibri"/>
          <w:b/>
          <w:sz w:val="20"/>
          <w:szCs w:val="20"/>
        </w:rPr>
        <w:t>3. SPRZĘT</w:t>
      </w:r>
    </w:p>
    <w:p w:rsidR="002F5D21" w:rsidRPr="00D54E7E" w:rsidRDefault="002F5D21" w:rsidP="00567DE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3.1. Ogólne wymagania dotyczące sprzętu</w:t>
      </w:r>
      <w:r>
        <w:rPr>
          <w:rFonts w:cs="Calibri"/>
          <w:sz w:val="20"/>
          <w:szCs w:val="20"/>
        </w:rPr>
        <w:t>.</w:t>
      </w:r>
    </w:p>
    <w:p w:rsidR="002F5D21" w:rsidRPr="00D54E7E" w:rsidRDefault="002F5D21" w:rsidP="00567DEA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Ogólne wymagania dotyczące sprzętu podano w SST D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M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00.00.00 „Wymagania ogólne".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567DE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3.2. Sprzęt stosowany do wykonania robót</w:t>
      </w:r>
      <w:r>
        <w:rPr>
          <w:rFonts w:cs="Calibri"/>
          <w:sz w:val="20"/>
          <w:szCs w:val="20"/>
        </w:rPr>
        <w:t>.</w:t>
      </w:r>
    </w:p>
    <w:p w:rsidR="002F5D21" w:rsidRPr="00D54E7E" w:rsidRDefault="002F5D21" w:rsidP="008E6148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Przy wykonywaniu robót Wykonawca w zależności od potrzeb, powinien wykazać się możliwością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korzystania ze sprzętu dostosowanego do przyjętej metody robót, jak:</w:t>
      </w:r>
    </w:p>
    <w:p w:rsidR="002F5D21" w:rsidRPr="008E6148" w:rsidRDefault="002F5D21" w:rsidP="008E6148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993" w:hanging="207"/>
        <w:jc w:val="both"/>
        <w:rPr>
          <w:rFonts w:cs="Calibri"/>
          <w:sz w:val="20"/>
          <w:szCs w:val="20"/>
        </w:rPr>
      </w:pPr>
      <w:r w:rsidRPr="008E6148">
        <w:rPr>
          <w:rFonts w:cs="Calibri"/>
          <w:sz w:val="20"/>
          <w:szCs w:val="20"/>
        </w:rPr>
        <w:t>wytwórnia (otaczarka) o mieszaniu cyklicznym lub ciągłym, z automatycznym komputerowym sterowaniem</w:t>
      </w:r>
    </w:p>
    <w:p w:rsidR="002F5D21" w:rsidRPr="008E6148" w:rsidRDefault="002F5D21" w:rsidP="008E6148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993" w:hanging="207"/>
        <w:jc w:val="both"/>
        <w:rPr>
          <w:rFonts w:cs="Calibri"/>
          <w:sz w:val="20"/>
          <w:szCs w:val="20"/>
        </w:rPr>
      </w:pPr>
      <w:r w:rsidRPr="008E6148">
        <w:rPr>
          <w:rFonts w:cs="Calibri"/>
          <w:sz w:val="20"/>
          <w:szCs w:val="20"/>
        </w:rPr>
        <w:t>produkcji, do wytwarzania mieszanek mineralno</w:t>
      </w:r>
      <w:r>
        <w:rPr>
          <w:rFonts w:cs="Calibri"/>
          <w:sz w:val="20"/>
          <w:szCs w:val="20"/>
        </w:rPr>
        <w:t>—</w:t>
      </w:r>
      <w:r w:rsidRPr="008E6148">
        <w:rPr>
          <w:rFonts w:cs="Calibri"/>
          <w:sz w:val="20"/>
          <w:szCs w:val="20"/>
        </w:rPr>
        <w:t>asfaltowych,</w:t>
      </w:r>
    </w:p>
    <w:p w:rsidR="002F5D21" w:rsidRPr="008E6148" w:rsidRDefault="002F5D21" w:rsidP="008E6148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993" w:hanging="207"/>
        <w:jc w:val="both"/>
        <w:rPr>
          <w:rFonts w:cs="Calibri"/>
          <w:sz w:val="20"/>
          <w:szCs w:val="20"/>
        </w:rPr>
      </w:pPr>
      <w:r w:rsidRPr="008E6148">
        <w:rPr>
          <w:rFonts w:cs="Calibri"/>
          <w:sz w:val="20"/>
          <w:szCs w:val="20"/>
        </w:rPr>
        <w:t>układarka gąsienicowa, z elektronicznym sterowaniem równości układanej warstwy, skrapiarka, walce stalowe gładkie,</w:t>
      </w:r>
    </w:p>
    <w:p w:rsidR="002F5D21" w:rsidRPr="008E6148" w:rsidRDefault="002F5D21" w:rsidP="008E6148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993" w:hanging="207"/>
        <w:jc w:val="both"/>
        <w:rPr>
          <w:rFonts w:cs="Calibri"/>
          <w:sz w:val="20"/>
          <w:szCs w:val="20"/>
        </w:rPr>
      </w:pPr>
      <w:r w:rsidRPr="008E6148">
        <w:rPr>
          <w:rFonts w:cs="Calibri"/>
          <w:sz w:val="20"/>
          <w:szCs w:val="20"/>
        </w:rPr>
        <w:t>walce ogumione szczotki mechaniczne i/lub inne urządzenia czyszczące,</w:t>
      </w:r>
    </w:p>
    <w:p w:rsidR="002F5D21" w:rsidRDefault="002F5D21" w:rsidP="008E6148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993" w:hanging="207"/>
        <w:jc w:val="both"/>
        <w:rPr>
          <w:rFonts w:cs="Calibri"/>
          <w:sz w:val="20"/>
          <w:szCs w:val="20"/>
        </w:rPr>
      </w:pPr>
      <w:r w:rsidRPr="008E6148">
        <w:rPr>
          <w:rFonts w:cs="Calibri"/>
          <w:sz w:val="20"/>
          <w:szCs w:val="20"/>
        </w:rPr>
        <w:t>samochody samowyładowcze z przykryciem brezentowym lub termosami,</w:t>
      </w:r>
    </w:p>
    <w:p w:rsidR="002F5D21" w:rsidRDefault="002F5D21" w:rsidP="008E6148">
      <w:pPr>
        <w:pStyle w:val="ListParagraph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993" w:hanging="207"/>
        <w:jc w:val="both"/>
        <w:rPr>
          <w:rFonts w:cs="Calibri"/>
          <w:sz w:val="20"/>
          <w:szCs w:val="20"/>
        </w:rPr>
      </w:pPr>
      <w:r w:rsidRPr="008E6148">
        <w:rPr>
          <w:rFonts w:cs="Calibri"/>
          <w:sz w:val="20"/>
          <w:szCs w:val="20"/>
        </w:rPr>
        <w:t>sprzęt drobny.</w:t>
      </w:r>
    </w:p>
    <w:p w:rsidR="002F5D21" w:rsidRPr="008E6148" w:rsidRDefault="002F5D21" w:rsidP="008E614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8E6148">
        <w:rPr>
          <w:rFonts w:cs="Calibri"/>
          <w:b/>
          <w:sz w:val="20"/>
          <w:szCs w:val="20"/>
        </w:rPr>
        <w:t>4. TRANSPORT</w:t>
      </w:r>
    </w:p>
    <w:p w:rsidR="002F5D21" w:rsidRPr="00D54E7E" w:rsidRDefault="002F5D21" w:rsidP="008E614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4.1. Ogólne wymagania dotyczące transportu</w:t>
      </w:r>
    </w:p>
    <w:p w:rsidR="002F5D21" w:rsidRPr="00D54E7E" w:rsidRDefault="002F5D21" w:rsidP="008E6148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Ogólne wymagania dotyczące transportu podano w SST D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M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00.00.00 „Wymagania ogólne".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8E614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4.2. Transport materiałów</w:t>
      </w:r>
    </w:p>
    <w:p w:rsidR="002F5D21" w:rsidRPr="00D54E7E" w:rsidRDefault="002F5D21" w:rsidP="008E6148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Asfalt i polimeroasfalt należy przewozić w cysternach kolejowych lub samochodach izolowanych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i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zaopatrzonych w urządzenia umożliwiające pośrednie ogrzewanie oraz w zawory spustowe.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Kruszywa można przewozić dowolnymi środkami transportu, w warun</w:t>
      </w:r>
      <w:r>
        <w:rPr>
          <w:rFonts w:cs="Calibri"/>
          <w:sz w:val="20"/>
          <w:szCs w:val="20"/>
        </w:rPr>
        <w:t xml:space="preserve">kach zabezpieczających je przed </w:t>
      </w:r>
      <w:r w:rsidRPr="00D54E7E">
        <w:rPr>
          <w:rFonts w:cs="Calibri"/>
          <w:sz w:val="20"/>
          <w:szCs w:val="20"/>
        </w:rPr>
        <w:t>zanieczyszczeniem, zmieszaniem z innymi materiałami i nadmiernym zawilgoceniem.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Wypełniacz należy przewozić w sposób chroniący go przed zawilgoceniem, zbryleniem i zanieczyszczeniem.</w:t>
      </w:r>
    </w:p>
    <w:p w:rsidR="002F5D21" w:rsidRPr="00D54E7E" w:rsidRDefault="002F5D21" w:rsidP="008E61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Wypełniacz luzem powinien być przewożony w odpowiednich cysternach przysto</w:t>
      </w:r>
      <w:r>
        <w:rPr>
          <w:rFonts w:cs="Calibri"/>
          <w:sz w:val="20"/>
          <w:szCs w:val="20"/>
        </w:rPr>
        <w:t xml:space="preserve">sowanych do przewozu materiałów </w:t>
      </w:r>
      <w:r w:rsidRPr="00D54E7E">
        <w:rPr>
          <w:rFonts w:cs="Calibri"/>
          <w:sz w:val="20"/>
          <w:szCs w:val="20"/>
        </w:rPr>
        <w:t>sypkich, umożliwiających rozładunek pneumatyczny.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Emulsja asfaltowa może być transportowana w zamkniętych cysternach, autocysternach, beczkach i innych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opakowaniach pod warunkiem, że nie będą korodowały pod wpływem emulsji i nie będą powodowały jej rozpadu.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Cysterny powinny być wyposażone w przegrody. Nie należy używać do transportu opakowań z metali lekkich (może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zachodzić wydzielanie wodoru i groźba wybuchu przy emulsjach o pH &lt; 4).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Mieszankę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asfaltową należy dowozić na budowę pojazdami samowyładowczymi w zależności od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postępu robót. Podczas transportu i postoju przed wbudowaniem mieszanka powinna być zabezpieczona przed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ostygnięciem i dopływem powietrza (przez przykrycie, pojemniki termoizolacyjne lub ogrzewane itp.). Warunki i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czas transportu mieszanki, od produkcji do wbudowania, powinna zapewniać utrzymanie temperatury w wymaganym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przedziale. Powierzchnie pojemników używanych do transportu mieszanki powinny być czyste, a do zwilżania tych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powierzchni można używać tylko środki antyadhezyjne niewpływające szkodliwie na mieszankę.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8E6148" w:rsidRDefault="002F5D21" w:rsidP="008E614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8E6148">
        <w:rPr>
          <w:rFonts w:cs="Calibri"/>
          <w:b/>
          <w:sz w:val="20"/>
          <w:szCs w:val="20"/>
        </w:rPr>
        <w:t>5. WYKONANIE ROBÓT</w:t>
      </w:r>
    </w:p>
    <w:p w:rsidR="002F5D21" w:rsidRPr="00D54E7E" w:rsidRDefault="002F5D21" w:rsidP="008E614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5.1. Ogólne zasady wykonania robót</w:t>
      </w:r>
      <w:r>
        <w:rPr>
          <w:rFonts w:cs="Calibri"/>
          <w:sz w:val="20"/>
          <w:szCs w:val="20"/>
        </w:rPr>
        <w:t>.</w:t>
      </w:r>
    </w:p>
    <w:p w:rsidR="002F5D21" w:rsidRPr="00D54E7E" w:rsidRDefault="002F5D21" w:rsidP="008E6148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Ogólne zasady wykonania robót podano w SST D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M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00.00.00 „Wymagania ogólne".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8E614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5.2. Projektowanie mieszanki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asfaltowej</w:t>
      </w:r>
      <w:r>
        <w:rPr>
          <w:rFonts w:cs="Calibri"/>
          <w:sz w:val="20"/>
          <w:szCs w:val="20"/>
        </w:rPr>
        <w:t>.</w:t>
      </w:r>
    </w:p>
    <w:p w:rsidR="002F5D21" w:rsidRPr="00D54E7E" w:rsidRDefault="002F5D21" w:rsidP="006E0600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Przed przystąpieniem do robót Wykonawca dostarczy Inżynierowi do akceptacji projekt składu mieszanki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mineral</w:t>
      </w:r>
      <w:r>
        <w:rPr>
          <w:rFonts w:cs="Calibri"/>
          <w:sz w:val="20"/>
          <w:szCs w:val="20"/>
        </w:rPr>
        <w:t>no—asfaltowej (AC 11 W,</w:t>
      </w:r>
      <w:r w:rsidRPr="00D54E7E">
        <w:rPr>
          <w:rFonts w:cs="Calibri"/>
          <w:sz w:val="20"/>
          <w:szCs w:val="20"/>
        </w:rPr>
        <w:t xml:space="preserve">). </w:t>
      </w:r>
      <w:r>
        <w:rPr>
          <w:rFonts w:cs="Calibri"/>
          <w:sz w:val="20"/>
          <w:szCs w:val="20"/>
        </w:rPr>
        <w:t>Z</w:t>
      </w:r>
      <w:r w:rsidRPr="00D54E7E">
        <w:rPr>
          <w:rFonts w:cs="Calibri"/>
          <w:sz w:val="20"/>
          <w:szCs w:val="20"/>
        </w:rPr>
        <w:t>godnie z projektem technicznym na daną drogę</w:t>
      </w:r>
      <w:r>
        <w:rPr>
          <w:rFonts w:cs="Calibri"/>
          <w:sz w:val="20"/>
          <w:szCs w:val="20"/>
        </w:rPr>
        <w:t xml:space="preserve">. </w:t>
      </w:r>
      <w:r w:rsidRPr="00D54E7E">
        <w:rPr>
          <w:rFonts w:cs="Calibri"/>
          <w:sz w:val="20"/>
          <w:szCs w:val="20"/>
        </w:rPr>
        <w:t>Uziarnienie mieszanki mineralnej oraz minimalna zawartość lepiszcza podane są w tablicach 5.</w:t>
      </w:r>
    </w:p>
    <w:p w:rsidR="002F5D21" w:rsidRPr="00D54E7E" w:rsidRDefault="002F5D21" w:rsidP="006E0600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Jeżeli stosowana jest mieszanka kruszywa drobnego niełamanego i łamanego, to należy przyjąć proporcję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kruszywa łamanego do niełamanego co najmniej 50/50.</w:t>
      </w:r>
    </w:p>
    <w:p w:rsidR="002F5D21" w:rsidRPr="00D54E7E" w:rsidRDefault="002F5D21" w:rsidP="006E06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Wymagane właściwości mieszanki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asfaltowej podane są w tablicach 5, 6,7.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6E0600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i/>
          <w:sz w:val="18"/>
          <w:szCs w:val="20"/>
        </w:rPr>
      </w:pPr>
      <w:r w:rsidRPr="006E0600">
        <w:rPr>
          <w:rFonts w:cs="Calibri"/>
          <w:i/>
          <w:sz w:val="18"/>
          <w:szCs w:val="20"/>
        </w:rPr>
        <w:t xml:space="preserve">Tablica 5. Uziarnienie mieszanki mineralnej oraz zawartość lepiszcza do betonu asfaltowego do warstwy wiążącej </w:t>
      </w:r>
      <w:r>
        <w:rPr>
          <w:rFonts w:cs="Calibri"/>
          <w:i/>
          <w:sz w:val="18"/>
          <w:szCs w:val="20"/>
        </w:rPr>
        <w:br/>
      </w:r>
      <w:r w:rsidRPr="006E0600">
        <w:rPr>
          <w:rFonts w:cs="Calibri"/>
          <w:i/>
          <w:sz w:val="18"/>
          <w:szCs w:val="20"/>
        </w:rPr>
        <w:t>i wyrównawczej, dla ruchu KR1</w:t>
      </w:r>
      <w:r>
        <w:rPr>
          <w:rFonts w:cs="Calibri"/>
          <w:i/>
          <w:sz w:val="18"/>
          <w:szCs w:val="20"/>
        </w:rPr>
        <w:t>—</w:t>
      </w:r>
      <w:r w:rsidRPr="006E0600">
        <w:rPr>
          <w:rFonts w:cs="Calibri"/>
          <w:i/>
          <w:sz w:val="18"/>
          <w:szCs w:val="20"/>
        </w:rPr>
        <w:t>5</w:t>
      </w:r>
      <w:r>
        <w:rPr>
          <w:rFonts w:cs="Calibri"/>
          <w:i/>
          <w:sz w:val="18"/>
          <w:szCs w:val="20"/>
        </w:rPr>
        <w:t>—</w:t>
      </w:r>
      <w:r w:rsidRPr="006E0600">
        <w:rPr>
          <w:rFonts w:cs="Calibri"/>
          <w:i/>
          <w:sz w:val="18"/>
          <w:szCs w:val="20"/>
        </w:rPr>
        <w:t>KR6 [65]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48"/>
        <w:gridCol w:w="3049"/>
        <w:gridCol w:w="3049"/>
      </w:tblGrid>
      <w:tr w:rsidR="002F5D21" w:rsidRPr="0094643B" w:rsidTr="0094643B">
        <w:tc>
          <w:tcPr>
            <w:tcW w:w="3048" w:type="dxa"/>
            <w:vMerge w:val="restart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Właściwości</w:t>
            </w:r>
          </w:p>
        </w:tc>
        <w:tc>
          <w:tcPr>
            <w:tcW w:w="6098" w:type="dxa"/>
            <w:gridSpan w:val="2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Przesiew, [% (m/m)]</w:t>
            </w:r>
          </w:p>
        </w:tc>
      </w:tr>
      <w:tr w:rsidR="002F5D21" w:rsidRPr="0094643B" w:rsidTr="0094643B">
        <w:tc>
          <w:tcPr>
            <w:tcW w:w="3048" w:type="dxa"/>
            <w:vMerge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</w:p>
        </w:tc>
        <w:tc>
          <w:tcPr>
            <w:tcW w:w="6098" w:type="dxa"/>
            <w:gridSpan w:val="2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AC11W</w:t>
            </w:r>
          </w:p>
        </w:tc>
      </w:tr>
      <w:tr w:rsidR="002F5D21" w:rsidRPr="0094643B" w:rsidTr="0094643B">
        <w:tc>
          <w:tcPr>
            <w:tcW w:w="304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Wymiar sita #, [m/m]</w:t>
            </w: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od</w:t>
            </w: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do</w:t>
            </w:r>
          </w:p>
        </w:tc>
      </w:tr>
      <w:tr w:rsidR="002F5D21" w:rsidRPr="0094643B" w:rsidTr="0094643B">
        <w:tc>
          <w:tcPr>
            <w:tcW w:w="304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31,5</w:t>
            </w: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</w:tr>
      <w:tr w:rsidR="002F5D21" w:rsidRPr="0094643B" w:rsidTr="0094643B">
        <w:tc>
          <w:tcPr>
            <w:tcW w:w="304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22,4</w:t>
            </w: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</w:tr>
      <w:tr w:rsidR="002F5D21" w:rsidRPr="0094643B" w:rsidTr="0094643B">
        <w:tc>
          <w:tcPr>
            <w:tcW w:w="304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16</w:t>
            </w: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</w:tr>
      <w:tr w:rsidR="002F5D21" w:rsidRPr="0094643B" w:rsidTr="0094643B">
        <w:tc>
          <w:tcPr>
            <w:tcW w:w="304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11,2</w:t>
            </w: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</w:tr>
      <w:tr w:rsidR="002F5D21" w:rsidRPr="0094643B" w:rsidTr="0094643B">
        <w:tc>
          <w:tcPr>
            <w:tcW w:w="304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8</w:t>
            </w: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</w:tr>
      <w:tr w:rsidR="002F5D21" w:rsidRPr="0094643B" w:rsidTr="0094643B">
        <w:tc>
          <w:tcPr>
            <w:tcW w:w="304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2</w:t>
            </w: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</w:tr>
      <w:tr w:rsidR="002F5D21" w:rsidRPr="0094643B" w:rsidTr="0094643B">
        <w:tc>
          <w:tcPr>
            <w:tcW w:w="304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0,125</w:t>
            </w: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</w:tr>
      <w:tr w:rsidR="002F5D21" w:rsidRPr="0094643B" w:rsidTr="0094643B">
        <w:tc>
          <w:tcPr>
            <w:tcW w:w="304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0,063</w:t>
            </w: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</w:tr>
      <w:tr w:rsidR="002F5D21" w:rsidRPr="0094643B" w:rsidTr="0094643B">
        <w:tc>
          <w:tcPr>
            <w:tcW w:w="304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Zawartość lepiszcza, minimum</w:t>
            </w:r>
            <w:r w:rsidRPr="0094643B">
              <w:rPr>
                <w:rFonts w:cs="Calibri"/>
                <w:sz w:val="16"/>
                <w:szCs w:val="20"/>
                <w:vertAlign w:val="superscript"/>
              </w:rPr>
              <w:t>1</w:t>
            </w: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</w:tr>
      <w:tr w:rsidR="002F5D21" w:rsidRPr="0094643B" w:rsidTr="0094643B">
        <w:tc>
          <w:tcPr>
            <w:tcW w:w="9146" w:type="dxa"/>
            <w:gridSpan w:val="3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*</w:t>
            </w:r>
            <w:r w:rsidRPr="0094643B">
              <w:rPr>
                <w:rFonts w:cs="Calibri"/>
                <w:sz w:val="16"/>
                <w:szCs w:val="20"/>
                <w:vertAlign w:val="superscript"/>
              </w:rPr>
              <w:t>1</w:t>
            </w:r>
            <w:r w:rsidRPr="0094643B">
              <w:rPr>
                <w:rFonts w:cs="Calibri"/>
                <w:sz w:val="16"/>
                <w:szCs w:val="20"/>
              </w:rPr>
              <w:t xml:space="preserve"> Minimalna zawartość lepiszcza jest określona przy założonej gęstości mieszanki mineralnej 2.650 Mg/m</w:t>
            </w:r>
            <w:r w:rsidRPr="0094643B">
              <w:rPr>
                <w:rFonts w:cs="Calibri"/>
                <w:sz w:val="16"/>
                <w:szCs w:val="20"/>
                <w:vertAlign w:val="superscript"/>
              </w:rPr>
              <w:t>3</w:t>
            </w:r>
            <w:r w:rsidRPr="0094643B">
              <w:rPr>
                <w:rFonts w:cs="Calibri"/>
                <w:sz w:val="16"/>
                <w:szCs w:val="20"/>
              </w:rPr>
              <w:t>. Jeżeli stosowana mieszanka mineralna ma inną gęstość (p</w:t>
            </w:r>
            <w:r w:rsidRPr="0094643B">
              <w:rPr>
                <w:rFonts w:cs="Calibri"/>
                <w:sz w:val="16"/>
                <w:szCs w:val="20"/>
                <w:vertAlign w:val="subscript"/>
              </w:rPr>
              <w:t>d</w:t>
            </w:r>
            <w:r w:rsidRPr="0094643B">
              <w:rPr>
                <w:rFonts w:cs="Calibri"/>
                <w:sz w:val="16"/>
                <w:szCs w:val="20"/>
              </w:rPr>
              <w:t>), to do wyznaczenia mineralnej zawartości lepiszcza podaną wartość należy pomnożyć przez współczynnik ^ według równania:</w:t>
            </w:r>
          </w:p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  <w:szCs w:val="20"/>
              </w:rPr>
            </w:pPr>
          </w:p>
        </w:tc>
      </w:tr>
    </w:tbl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C66B13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i/>
          <w:sz w:val="18"/>
          <w:szCs w:val="20"/>
        </w:rPr>
      </w:pPr>
      <w:r w:rsidRPr="00C66B13">
        <w:rPr>
          <w:rFonts w:cs="Calibri"/>
          <w:i/>
          <w:sz w:val="18"/>
          <w:szCs w:val="20"/>
        </w:rPr>
        <w:t>Tablica 6. Wymagane właściwości mieszanki mineralno</w:t>
      </w:r>
      <w:r>
        <w:rPr>
          <w:rFonts w:cs="Calibri"/>
          <w:i/>
          <w:sz w:val="18"/>
          <w:szCs w:val="20"/>
        </w:rPr>
        <w:t>—</w:t>
      </w:r>
      <w:r w:rsidRPr="00C66B13">
        <w:rPr>
          <w:rFonts w:cs="Calibri"/>
          <w:i/>
          <w:sz w:val="18"/>
          <w:szCs w:val="20"/>
        </w:rPr>
        <w:t>asfaltowej do warstwy wiążącej i wyrównawczej, dla ruchu KRI + KR2 [65]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42"/>
        <w:gridCol w:w="1826"/>
        <w:gridCol w:w="3118"/>
        <w:gridCol w:w="1276"/>
        <w:gridCol w:w="1384"/>
      </w:tblGrid>
      <w:tr w:rsidR="002F5D21" w:rsidRPr="0094643B" w:rsidTr="0094643B">
        <w:trPr>
          <w:trHeight w:val="244"/>
        </w:trPr>
        <w:tc>
          <w:tcPr>
            <w:tcW w:w="1542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4643B">
              <w:rPr>
                <w:rFonts w:cs="Calibri"/>
                <w:b/>
                <w:sz w:val="16"/>
                <w:szCs w:val="16"/>
              </w:rPr>
              <w:t>Właściwość</w:t>
            </w:r>
          </w:p>
        </w:tc>
        <w:tc>
          <w:tcPr>
            <w:tcW w:w="1826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4643B">
              <w:rPr>
                <w:rFonts w:cs="Calibri"/>
                <w:b/>
                <w:sz w:val="16"/>
                <w:szCs w:val="16"/>
              </w:rPr>
              <w:t>Warunki zagęszczania wg PN—EN 13108—20 [48]</w:t>
            </w:r>
          </w:p>
        </w:tc>
        <w:tc>
          <w:tcPr>
            <w:tcW w:w="311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4643B">
              <w:rPr>
                <w:rFonts w:cs="Calibri"/>
                <w:b/>
                <w:sz w:val="16"/>
                <w:szCs w:val="16"/>
              </w:rPr>
              <w:t>Metoda i warunki badania</w:t>
            </w:r>
          </w:p>
        </w:tc>
        <w:tc>
          <w:tcPr>
            <w:tcW w:w="1276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4643B">
              <w:rPr>
                <w:rFonts w:cs="Calibri"/>
                <w:b/>
                <w:sz w:val="16"/>
                <w:szCs w:val="16"/>
              </w:rPr>
              <w:t>AC11W</w:t>
            </w:r>
          </w:p>
        </w:tc>
        <w:tc>
          <w:tcPr>
            <w:tcW w:w="138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4643B">
              <w:rPr>
                <w:rFonts w:cs="Calibri"/>
                <w:b/>
                <w:sz w:val="16"/>
                <w:szCs w:val="16"/>
              </w:rPr>
              <w:t>AC16W</w:t>
            </w:r>
          </w:p>
        </w:tc>
      </w:tr>
      <w:tr w:rsidR="002F5D21" w:rsidRPr="0094643B" w:rsidTr="0094643B">
        <w:trPr>
          <w:trHeight w:val="244"/>
        </w:trPr>
        <w:tc>
          <w:tcPr>
            <w:tcW w:w="1542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Zawartość wolnych przestrzeni</w:t>
            </w:r>
          </w:p>
        </w:tc>
        <w:tc>
          <w:tcPr>
            <w:tcW w:w="1826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C.1.2,</w:t>
            </w:r>
          </w:p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ubijanie 2x50 uderzeń</w:t>
            </w:r>
          </w:p>
        </w:tc>
        <w:tc>
          <w:tcPr>
            <w:tcW w:w="311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PN—EN 12697—8 [33] p.4</w:t>
            </w:r>
          </w:p>
        </w:tc>
        <w:tc>
          <w:tcPr>
            <w:tcW w:w="1276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min 3,0</w:t>
            </w:r>
          </w:p>
        </w:tc>
        <w:tc>
          <w:tcPr>
            <w:tcW w:w="138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r min 3,0 r</w:t>
            </w:r>
          </w:p>
        </w:tc>
      </w:tr>
      <w:tr w:rsidR="002F5D21" w:rsidRPr="0094643B" w:rsidTr="0094643B">
        <w:trPr>
          <w:trHeight w:val="244"/>
        </w:trPr>
        <w:tc>
          <w:tcPr>
            <w:tcW w:w="1542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Wolne przestrzenie wypełnione lepiszczem</w:t>
            </w:r>
          </w:p>
        </w:tc>
        <w:tc>
          <w:tcPr>
            <w:tcW w:w="1826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C.1.2,</w:t>
            </w:r>
          </w:p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ubijanie 2x50 uderzeń</w:t>
            </w:r>
          </w:p>
        </w:tc>
        <w:tc>
          <w:tcPr>
            <w:tcW w:w="311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PN—EN 12697—8 [33] p.5</w:t>
            </w:r>
          </w:p>
        </w:tc>
        <w:tc>
          <w:tcPr>
            <w:tcW w:w="1276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VFBmin65</w:t>
            </w:r>
          </w:p>
        </w:tc>
        <w:tc>
          <w:tcPr>
            <w:tcW w:w="138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yFBmin60</w:t>
            </w:r>
          </w:p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VFBmin80</w:t>
            </w:r>
          </w:p>
        </w:tc>
      </w:tr>
      <w:tr w:rsidR="002F5D21" w:rsidRPr="0094643B" w:rsidTr="0094643B">
        <w:trPr>
          <w:trHeight w:val="244"/>
        </w:trPr>
        <w:tc>
          <w:tcPr>
            <w:tcW w:w="1542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 xml:space="preserve">Zawartość wolnych przestrzeni </w:t>
            </w:r>
            <w:r w:rsidRPr="0094643B">
              <w:rPr>
                <w:rFonts w:cs="Calibri"/>
                <w:sz w:val="16"/>
                <w:szCs w:val="16"/>
              </w:rPr>
              <w:br/>
              <w:t>w mieszance mineralnej</w:t>
            </w:r>
          </w:p>
        </w:tc>
        <w:tc>
          <w:tcPr>
            <w:tcW w:w="1826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C.1.2,</w:t>
            </w:r>
          </w:p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ubijanie 2x50 uderzeń</w:t>
            </w:r>
          </w:p>
        </w:tc>
        <w:tc>
          <w:tcPr>
            <w:tcW w:w="311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PN—EN 12697—8 [33] p.5</w:t>
            </w:r>
          </w:p>
        </w:tc>
        <w:tc>
          <w:tcPr>
            <w:tcW w:w="1276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VMA</w:t>
            </w:r>
            <w:r w:rsidRPr="0094643B">
              <w:rPr>
                <w:rFonts w:cs="Calibri"/>
                <w:sz w:val="16"/>
                <w:szCs w:val="16"/>
                <w:vertAlign w:val="subscript"/>
              </w:rPr>
              <w:t>min14</w:t>
            </w:r>
          </w:p>
        </w:tc>
        <w:tc>
          <w:tcPr>
            <w:tcW w:w="138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VMA</w:t>
            </w:r>
            <w:r w:rsidRPr="0094643B">
              <w:rPr>
                <w:rFonts w:cs="Calibri"/>
                <w:sz w:val="16"/>
                <w:szCs w:val="16"/>
                <w:vertAlign w:val="subscript"/>
              </w:rPr>
              <w:t>min14</w:t>
            </w:r>
          </w:p>
        </w:tc>
      </w:tr>
      <w:tr w:rsidR="002F5D21" w:rsidRPr="0094643B" w:rsidTr="0094643B">
        <w:trPr>
          <w:trHeight w:val="245"/>
        </w:trPr>
        <w:tc>
          <w:tcPr>
            <w:tcW w:w="1542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Odporność na działanie wody</w:t>
            </w:r>
          </w:p>
        </w:tc>
        <w:tc>
          <w:tcPr>
            <w:tcW w:w="1826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C.1.1,</w:t>
            </w:r>
          </w:p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ubijanie 2x35 uderzeń</w:t>
            </w:r>
          </w:p>
        </w:tc>
        <w:tc>
          <w:tcPr>
            <w:tcW w:w="311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PN—EN 12697—12 [35]</w:t>
            </w:r>
            <w:r w:rsidRPr="0094643B">
              <w:rPr>
                <w:rFonts w:cs="Calibri"/>
                <w:sz w:val="16"/>
                <w:szCs w:val="16"/>
              </w:rPr>
              <w:br/>
              <w:t xml:space="preserve">przechowywanie w 40°C z jednym cyklem zamrażania, </w:t>
            </w:r>
            <w:r w:rsidRPr="0094643B">
              <w:rPr>
                <w:rFonts w:cs="Calibri"/>
                <w:sz w:val="16"/>
                <w:szCs w:val="16"/>
                <w:vertAlign w:val="superscript"/>
              </w:rPr>
              <w:t>a</w:t>
            </w:r>
            <w:r w:rsidRPr="0094643B">
              <w:rPr>
                <w:rFonts w:cs="Calibri"/>
                <w:sz w:val="16"/>
                <w:szCs w:val="16"/>
              </w:rPr>
              <w:t>*</w:t>
            </w:r>
            <w:r w:rsidRPr="0094643B">
              <w:rPr>
                <w:rFonts w:cs="Calibri"/>
                <w:sz w:val="16"/>
                <w:szCs w:val="16"/>
              </w:rPr>
              <w:br/>
              <w:t>badanie w 25°C</w:t>
            </w:r>
          </w:p>
        </w:tc>
        <w:tc>
          <w:tcPr>
            <w:tcW w:w="1276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ITSR</w:t>
            </w:r>
            <w:r w:rsidRPr="0094643B">
              <w:rPr>
                <w:rFonts w:cs="Calibri"/>
                <w:sz w:val="16"/>
                <w:szCs w:val="16"/>
                <w:vertAlign w:val="subscript"/>
              </w:rPr>
              <w:t>SO</w:t>
            </w:r>
          </w:p>
        </w:tc>
        <w:tc>
          <w:tcPr>
            <w:tcW w:w="138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VMA</w:t>
            </w:r>
            <w:r w:rsidRPr="0094643B">
              <w:rPr>
                <w:rFonts w:cs="Calibri"/>
                <w:sz w:val="16"/>
                <w:szCs w:val="16"/>
                <w:vertAlign w:val="subscript"/>
              </w:rPr>
              <w:t>M</w:t>
            </w:r>
          </w:p>
        </w:tc>
      </w:tr>
    </w:tbl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b) Ujednoliconą procedurę badania odporności na działanie wody podano w WT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2 2010 [65] w załączniku 1.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46215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5.3. Wytwarzanie mieszanki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asfaltowej</w:t>
      </w:r>
    </w:p>
    <w:p w:rsidR="002F5D21" w:rsidRPr="00D54E7E" w:rsidRDefault="002F5D21" w:rsidP="0046215F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Mieszankę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asfaltową należy wytwarzać na gorąco w otaczarce (zespole maszyn i urządzeń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dozowania, podgrzewania i mieszania składników oraz przechowywania gotowej mieszanki).</w:t>
      </w:r>
    </w:p>
    <w:p w:rsidR="002F5D21" w:rsidRPr="00D54E7E" w:rsidRDefault="002F5D21" w:rsidP="0046215F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Dozowanie składników mieszanki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asfaltowej w otaczarkach, w tym także wstępne, powinno być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zautomatyzowane i zgodne z receptą roboczą, a urządzenia do dozowania składników oraz pomiaru temperatury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powinny być okresowo sprawdzane. Kruszywo o różnym uziarnieniu lub pochodzeniu należy dodawać odmierzone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oddzielnie.</w:t>
      </w:r>
      <w:r>
        <w:rPr>
          <w:rFonts w:cs="Calibri"/>
          <w:sz w:val="20"/>
          <w:szCs w:val="20"/>
        </w:rPr>
        <w:t xml:space="preserve"> </w:t>
      </w:r>
    </w:p>
    <w:p w:rsidR="002F5D21" w:rsidRPr="00D54E7E" w:rsidRDefault="002F5D21" w:rsidP="00607D64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Lepiszcze asfaltowe należy przechowywać w zbiorniku z pośrednim systemem ogrzewania, z układem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termostatowania zapewniającym utrzymanie żądanej temperatury z dokładnością ± 5°C. Temperatura lepiszcza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 xml:space="preserve">asfaltowego w zbiorniku magazynowym (roboczym) nie może przekraczać 180°C dla asfaltu drogowego 50/70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i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polimeroasfaltu drogowego PMB25/55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60 oraz 190°C dla asfaltu drogowego 35/50.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Kruszywo powinno być wysuszone i podgrzane tak, aby mieszanka mineralna uzyskała temperaturę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właściwą do otoczenia lepiszczem asfaltowym. Temperatura mieszanki mineralnej nie powinna być wyższa o więcej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niż 30°C od najwyższej temperatury mieszanki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asfaltowej podanej w tablicy 9. W tej tablicy najniższa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temperatura dotyczy mieszanki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asfaltowej dostarczonej na miejsce wbudowania, a najwyższa temperatura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dotyczy mieszanki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asfaltowej bezpośrednio po wytworzeniu w wytwórni.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607D64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i/>
          <w:sz w:val="18"/>
          <w:szCs w:val="20"/>
        </w:rPr>
      </w:pPr>
      <w:r w:rsidRPr="00607D64">
        <w:rPr>
          <w:rFonts w:cs="Calibri"/>
          <w:i/>
          <w:sz w:val="18"/>
          <w:szCs w:val="20"/>
        </w:rPr>
        <w:t>Tablica 9. Najwyższa i najniższa temperatura mieszanki AC [65]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14"/>
        <w:gridCol w:w="4716"/>
      </w:tblGrid>
      <w:tr w:rsidR="002F5D21" w:rsidRPr="0094643B" w:rsidTr="0094643B">
        <w:tc>
          <w:tcPr>
            <w:tcW w:w="474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Lepiszcze asfaltowe</w:t>
            </w:r>
          </w:p>
        </w:tc>
        <w:tc>
          <w:tcPr>
            <w:tcW w:w="474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Temperatura mieszanki [°C]</w:t>
            </w:r>
          </w:p>
        </w:tc>
      </w:tr>
      <w:tr w:rsidR="002F5D21" w:rsidRPr="0094643B" w:rsidTr="0094643B">
        <w:tc>
          <w:tcPr>
            <w:tcW w:w="474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Asfalt 35/50</w:t>
            </w:r>
          </w:p>
        </w:tc>
        <w:tc>
          <w:tcPr>
            <w:tcW w:w="474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od 155 do 195</w:t>
            </w:r>
          </w:p>
        </w:tc>
      </w:tr>
      <w:tr w:rsidR="002F5D21" w:rsidRPr="0094643B" w:rsidTr="0094643B">
        <w:tc>
          <w:tcPr>
            <w:tcW w:w="474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Asfalt 50/50</w:t>
            </w:r>
          </w:p>
        </w:tc>
        <w:tc>
          <w:tcPr>
            <w:tcW w:w="474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od 140 do 180</w:t>
            </w:r>
          </w:p>
        </w:tc>
      </w:tr>
    </w:tbl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Sposób i czas mieszania składników mieszanki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asfaltowej powinny zapewnić równomierne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otoczenie kruszywa lepiszczem asfaltowym.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8E107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5.4. Przygotowanie podłoża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Podłoże (podbudowa lub stara warstwa ścieralna) pod warstwę wiążącą lub wyrównawczą z betonu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asfaltowego powinno być na całej powierzchni: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ustabilizowane i nośne,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czyste, bez zanieczyszczenia lub pozostałości luźnego kruszywa,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wyprofilowane, równe i bez kolein,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suche.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Wymagana równość podłużna jest określona w rozporządzeniu dotyczącym warunków technicznych, jakim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powinny odpowiadać drogi publiczne [67]. W wypadku podłoża z warstwy starej nawierzchni, nierówności nie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powinny przekraczać wartości podanych w tablicy 10.</w:t>
      </w:r>
    </w:p>
    <w:p w:rsidR="002F5D21" w:rsidRPr="008E1078" w:rsidRDefault="002F5D21" w:rsidP="00DC0742">
      <w:pPr>
        <w:rPr>
          <w:rFonts w:cs="Calibri"/>
          <w:i/>
          <w:sz w:val="18"/>
          <w:szCs w:val="20"/>
        </w:rPr>
      </w:pPr>
      <w:r>
        <w:rPr>
          <w:rFonts w:cs="Calibri"/>
          <w:sz w:val="20"/>
          <w:szCs w:val="20"/>
        </w:rPr>
        <w:br w:type="page"/>
      </w:r>
      <w:r w:rsidRPr="008E1078">
        <w:rPr>
          <w:rFonts w:cs="Calibri"/>
          <w:i/>
          <w:sz w:val="18"/>
          <w:szCs w:val="20"/>
        </w:rPr>
        <w:t>Tablica 10. Maksymalne nierówności podłoża z warstwy starej nawierzchni pod warstwy asfaltowe (pomiar łatą 4</w:t>
      </w:r>
      <w:r>
        <w:rPr>
          <w:rFonts w:cs="Calibri"/>
          <w:i/>
          <w:sz w:val="18"/>
          <w:szCs w:val="20"/>
        </w:rPr>
        <w:t>—</w:t>
      </w:r>
      <w:r w:rsidRPr="008E1078">
        <w:rPr>
          <w:rFonts w:cs="Calibri"/>
          <w:i/>
          <w:sz w:val="18"/>
          <w:szCs w:val="20"/>
        </w:rPr>
        <w:t>metrową lub równoważną metodą)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4521"/>
        <w:gridCol w:w="3166"/>
      </w:tblGrid>
      <w:tr w:rsidR="002F5D21" w:rsidRPr="0094643B" w:rsidTr="0094643B">
        <w:tc>
          <w:tcPr>
            <w:tcW w:w="180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Klasa drogi</w:t>
            </w:r>
          </w:p>
        </w:tc>
        <w:tc>
          <w:tcPr>
            <w:tcW w:w="452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Element nawierzchni</w:t>
            </w:r>
          </w:p>
        </w:tc>
        <w:tc>
          <w:tcPr>
            <w:tcW w:w="3166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20"/>
              </w:rPr>
            </w:pPr>
            <w:r w:rsidRPr="0094643B">
              <w:rPr>
                <w:rFonts w:cs="Calibri"/>
                <w:b/>
                <w:sz w:val="16"/>
                <w:szCs w:val="20"/>
              </w:rPr>
              <w:t>Maksymalna nierówność podłoża pod warstwę wiążącą [mm]</w:t>
            </w:r>
          </w:p>
        </w:tc>
      </w:tr>
      <w:tr w:rsidR="002F5D21" w:rsidRPr="0094643B" w:rsidTr="0094643B">
        <w:tc>
          <w:tcPr>
            <w:tcW w:w="180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  <w:tc>
          <w:tcPr>
            <w:tcW w:w="452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—————————————————————————————</w:t>
            </w:r>
          </w:p>
        </w:tc>
        <w:tc>
          <w:tcPr>
            <w:tcW w:w="3166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</w:tr>
      <w:tr w:rsidR="002F5D21" w:rsidRPr="0094643B" w:rsidTr="0094643B">
        <w:tc>
          <w:tcPr>
            <w:tcW w:w="180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  <w:tc>
          <w:tcPr>
            <w:tcW w:w="452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—————————————————————————————————————</w:t>
            </w:r>
          </w:p>
        </w:tc>
        <w:tc>
          <w:tcPr>
            <w:tcW w:w="3166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</w:tr>
      <w:tr w:rsidR="002F5D21" w:rsidRPr="0094643B" w:rsidTr="0094643B">
        <w:tc>
          <w:tcPr>
            <w:tcW w:w="180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  <w:tc>
          <w:tcPr>
            <w:tcW w:w="452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———————————————————————————————————————————</w:t>
            </w:r>
          </w:p>
        </w:tc>
        <w:tc>
          <w:tcPr>
            <w:tcW w:w="3166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</w:p>
        </w:tc>
      </w:tr>
      <w:tr w:rsidR="002F5D21" w:rsidRPr="0094643B" w:rsidTr="0094643B">
        <w:tc>
          <w:tcPr>
            <w:tcW w:w="180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Z, L, D</w:t>
            </w:r>
          </w:p>
        </w:tc>
        <w:tc>
          <w:tcPr>
            <w:tcW w:w="4521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Pasy ruchu</w:t>
            </w:r>
          </w:p>
        </w:tc>
        <w:tc>
          <w:tcPr>
            <w:tcW w:w="3166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20"/>
              </w:rPr>
            </w:pPr>
            <w:r w:rsidRPr="0094643B">
              <w:rPr>
                <w:rFonts w:cs="Calibri"/>
                <w:sz w:val="16"/>
                <w:szCs w:val="20"/>
              </w:rPr>
              <w:t>12</w:t>
            </w:r>
          </w:p>
        </w:tc>
      </w:tr>
    </w:tbl>
    <w:p w:rsidR="002F5D21" w:rsidRDefault="002F5D21" w:rsidP="008E107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</w:p>
    <w:p w:rsidR="002F5D21" w:rsidRPr="00D54E7E" w:rsidRDefault="002F5D21" w:rsidP="00AF450E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Jeżeli nierówności są większe niż dopuszczalne, to należy wyrównać podłoże.</w:t>
      </w:r>
    </w:p>
    <w:p w:rsidR="002F5D21" w:rsidRPr="00D54E7E" w:rsidRDefault="002F5D21" w:rsidP="00AF450E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Rzędne wysokościowe podłoża oraz urządzeń usytuowanych w nawierzchni lub ją ograniczających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powinny być zgodne z dokumentacją projektową. Z podłoża powin</w:t>
      </w:r>
      <w:r>
        <w:rPr>
          <w:rFonts w:cs="Calibri"/>
          <w:sz w:val="20"/>
          <w:szCs w:val="20"/>
        </w:rPr>
        <w:t xml:space="preserve">ien być zapewniony odpływ wody. </w:t>
      </w:r>
      <w:r w:rsidRPr="00D54E7E">
        <w:rPr>
          <w:rFonts w:cs="Calibri"/>
          <w:sz w:val="20"/>
          <w:szCs w:val="20"/>
        </w:rPr>
        <w:t>Nierówności podłoża (w tym powierzchnię istniejącej warstwy ścieralnej) należy wyrównać poprzez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 xml:space="preserve">frezowanie lub </w:t>
      </w:r>
      <w:r>
        <w:rPr>
          <w:rFonts w:cs="Calibri"/>
          <w:sz w:val="20"/>
          <w:szCs w:val="20"/>
        </w:rPr>
        <w:t xml:space="preserve">wykonanie warstwy wyrównawczej. </w:t>
      </w:r>
      <w:r w:rsidRPr="00D54E7E">
        <w:rPr>
          <w:rFonts w:cs="Calibri"/>
          <w:sz w:val="20"/>
          <w:szCs w:val="20"/>
        </w:rPr>
        <w:t>Wykonane w podłożu łaty z materiału o mniejszej sztywności (np. łaty z asfaltu lanego w betonie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asfaltowym) należy usunąć, a powstałe w ten sposób ubytki wypełnić materiałem o właściwościach zbliżonych do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materiału podstawowego (np. wypełnić betonem asfaltowym).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W celu polepszenia połączenia między warstwami technologicznymi nawierzchni powierzchnia podłoża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powinna być w ocenie wizualnej chropowata.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0E7F6D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Szerokie szczeliny w podłożu należy wypełnić odpowiednim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materiałem, np. zalewami drogowymi według PN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EN 14188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1 [60] lub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EN 14188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2 [61] albo innymi materiałami według norm lub aprobat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technicznych.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0E7F6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5.5. Próba technologiczna</w:t>
      </w:r>
    </w:p>
    <w:p w:rsidR="002F5D21" w:rsidRPr="00D54E7E" w:rsidRDefault="002F5D21" w:rsidP="00F9047E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Wykonawca przed przystąpieniem do produkcji mieszanki jest zobowiązany do przeprowadzenia w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obecności Inżyniera próby technologicznej, która ma na celu sprawdzenie zgodności właściwości wyprodukowanej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mieszanki z receptą. W tym celu należy zaprogramować otaczarkę zgodnie z receptą roboczą i w cyklu automatycznym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produkować mieszankę. Do badań należy pobrać mieszankę wyprodukowaną po ustabilizowaniu się pracy otaczarki.</w:t>
      </w:r>
    </w:p>
    <w:p w:rsidR="002F5D21" w:rsidRPr="00D54E7E" w:rsidRDefault="002F5D21" w:rsidP="00F9047E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Nie dopuszcza się oceniania dokładności pracy otaczarki oraz prawidłowości składu mieszanki mineralnej na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podstawie tzw. suchego zarobu, z uwagi na możliwą segregację kruszywa.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Mieszankę wyprodukowaną po ustabilizowaniu się pracy otaczarki należy zgromadzić w silosie lub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załadować na samochód. Próbki do badań należy pobierać ze skrzyni samochodu zgodnie z metodą określoną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w PN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EN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12697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27 [39].</w:t>
      </w:r>
    </w:p>
    <w:p w:rsidR="002F5D21" w:rsidRDefault="002F5D21" w:rsidP="00F9047E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Na podstawie uzyskanych wyników Inżynier podejmuje decyzję o wykonaniu odcinka próbnego.</w:t>
      </w:r>
    </w:p>
    <w:p w:rsidR="002F5D21" w:rsidRPr="00D54E7E" w:rsidRDefault="002F5D21" w:rsidP="00F9047E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</w:p>
    <w:p w:rsidR="002F5D21" w:rsidRPr="00D54E7E" w:rsidRDefault="002F5D21" w:rsidP="0001149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5.6. Odcinek próbny</w:t>
      </w:r>
    </w:p>
    <w:p w:rsidR="002F5D21" w:rsidRPr="00D54E7E" w:rsidRDefault="002F5D21" w:rsidP="00011494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Przed przystąpieniem do wykonania warstwy wiążącej z betonu asfaltowego Wykonawca wykona odcinek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próbny celem uściślenia organizacji wytwarzania i układania oraz ustalenia warunków zagęszczania.</w:t>
      </w:r>
      <w:r>
        <w:rPr>
          <w:rFonts w:cs="Calibri"/>
          <w:sz w:val="20"/>
          <w:szCs w:val="20"/>
        </w:rPr>
        <w:t xml:space="preserve"> </w:t>
      </w:r>
    </w:p>
    <w:p w:rsidR="002F5D21" w:rsidRPr="00D54E7E" w:rsidRDefault="002F5D21" w:rsidP="00011494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Odcinek próbny powinien być zlokalizowany w miejscu uzgodnionym z Inspektorem Nadzoru.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Powierzchnia odcinka próbnego powinna wynosić co najmniej 500 m2, a długość co najmniej 50 m. Na odcinku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próbnym Wykonawca powinien użyć takich materiałów oraz sprzętu jakie zamierza stosować do wykonania warstwy.</w:t>
      </w:r>
    </w:p>
    <w:p w:rsidR="002F5D21" w:rsidRPr="00D54E7E" w:rsidRDefault="002F5D21" w:rsidP="00011494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Wykonawca może przystąpić do realizacji robót po zaakceptowaniu przez Inspektora Nadzoru wbudowania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i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zagęszczania oraz wyników z odcinka próbnego.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01149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5.7. Połączenie międzywarstwowe</w:t>
      </w:r>
    </w:p>
    <w:p w:rsidR="002F5D21" w:rsidRDefault="002F5D21" w:rsidP="00011494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Uzyskanie wymaganej trwałości nawierzchni jest uzależnione od zapewnienia połączenia między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 xml:space="preserve">warstwami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i ich współpracy w przenoszeniu</w:t>
      </w:r>
      <w:r>
        <w:rPr>
          <w:rFonts w:cs="Calibri"/>
          <w:sz w:val="20"/>
          <w:szCs w:val="20"/>
        </w:rPr>
        <w:t xml:space="preserve"> obciążenia nawierzchni ruchem. </w:t>
      </w:r>
      <w:r w:rsidRPr="00D54E7E">
        <w:rPr>
          <w:rFonts w:cs="Calibri"/>
          <w:sz w:val="20"/>
          <w:szCs w:val="20"/>
        </w:rPr>
        <w:t xml:space="preserve">Podłoże powinno być skropione lepiszczem.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Ma to na celu zwiększenie połączenia między warstwami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 xml:space="preserve">konstrukcyjnymi oraz zabezpieczenie przed wnikaniem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i zaleganiem wody między warstwami.</w:t>
      </w:r>
      <w:r>
        <w:rPr>
          <w:rFonts w:cs="Calibri"/>
          <w:sz w:val="20"/>
          <w:szCs w:val="20"/>
        </w:rPr>
        <w:t xml:space="preserve"> </w:t>
      </w:r>
    </w:p>
    <w:p w:rsidR="002F5D21" w:rsidRPr="00D54E7E" w:rsidRDefault="002F5D21" w:rsidP="00011494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Skropienie lepiszczem podłoża (np. podbudowa asfaltowa), przed ułożeniem warstwy wiążącej z betonu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asfaltowego powinno być wykonane w ilości podanej w przeliczeniu na pozostał</w:t>
      </w:r>
      <w:r>
        <w:rPr>
          <w:rFonts w:cs="Calibri"/>
          <w:sz w:val="20"/>
          <w:szCs w:val="20"/>
        </w:rPr>
        <w:t>e lepiszcze, tj. 0,3 % 0,5 kg/m</w:t>
      </w:r>
      <w:r w:rsidRPr="00D54E7E">
        <w:rPr>
          <w:rFonts w:cs="Calibri"/>
          <w:sz w:val="20"/>
          <w:szCs w:val="20"/>
        </w:rPr>
        <w:t>, przy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czym: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— ilość emulsji należy dobrać z uwzględnieniem stanu podłoża oraz porowatości mieszanki</w:t>
      </w:r>
      <w:r>
        <w:rPr>
          <w:rFonts w:cs="Calibri"/>
          <w:sz w:val="20"/>
          <w:szCs w:val="20"/>
        </w:rPr>
        <w:t>;</w:t>
      </w:r>
      <w:r w:rsidRPr="00D54E7E">
        <w:rPr>
          <w:rFonts w:cs="Calibri"/>
          <w:sz w:val="20"/>
          <w:szCs w:val="20"/>
        </w:rPr>
        <w:t xml:space="preserve"> jeśli mieszanka ma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większą zawartość wolnych przestrzeni, to należy użyć większą ilość lepiszcza do skropienia, które po ułożeniu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warstwy ścieralnej uszczelni ją.</w:t>
      </w:r>
    </w:p>
    <w:p w:rsidR="002F5D21" w:rsidRDefault="002F5D21" w:rsidP="00011494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Skrapianie podłoża należy wykonywać równomiernie stosując rampy do skrapiania, np. skrapiarki do lepiszczy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asfaltowych. Dopuszcza się skrapianie ręczne lancą w miejscach trudno dostępnych (np. ścieki uliczne) oraz przy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urządzeniach usytuowanych w nawierzchni lub ją ograniczających. W razie potrzeby urządzenia te należy zabezpieczyć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przed zabrudzeniem. Skropione podłoże należy wyłączyć z ruchu publicznego przez zmianę organizacji ruchu.</w:t>
      </w:r>
    </w:p>
    <w:p w:rsidR="002F5D21" w:rsidRPr="00D54E7E" w:rsidRDefault="002F5D21" w:rsidP="00011494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</w:p>
    <w:p w:rsidR="002F5D21" w:rsidRDefault="002F5D21" w:rsidP="00011494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W wypadku stosowania emulsji asfaltowej podłoże powinno być skropione 0,5 h przed układaniem warstwy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asfaltowej w celu odparowania wody.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Czas ten nie dotyczy skrapiania rampą zamontowaną na rozkładarce.</w:t>
      </w:r>
    </w:p>
    <w:p w:rsidR="002F5D21" w:rsidRPr="00D54E7E" w:rsidRDefault="002F5D21" w:rsidP="00011494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</w:p>
    <w:p w:rsidR="002F5D21" w:rsidRPr="00D54E7E" w:rsidRDefault="002F5D21" w:rsidP="0001149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5.8. Wbudowanie mieszanki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asfaltowej</w:t>
      </w:r>
    </w:p>
    <w:p w:rsidR="002F5D21" w:rsidRPr="00D54E7E" w:rsidRDefault="002F5D21" w:rsidP="00011494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Inwestor żąda od wykonawcy robót aby warstwy wyrównawcza lub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profilowa były wykonywane cała szerokością jezdni bez złącza podłużnego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Mieszankę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asfaltową można wbudowywać na podłożu przygotowanym zgodnie z zapisami w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punktach 5.4 i 5.7.</w:t>
      </w:r>
    </w:p>
    <w:p w:rsidR="002F5D21" w:rsidRPr="00D54E7E" w:rsidRDefault="002F5D21" w:rsidP="00011494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Temperatura podłoża pod rozkładaną warstwę nie może być niższa niż +5°C.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Transport mieszanki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asfaltowej asfaltowej powinien być zgodny z zaleceniami podanymi w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punkcie 4.2.</w:t>
      </w:r>
    </w:p>
    <w:p w:rsidR="002F5D21" w:rsidRPr="00D54E7E" w:rsidRDefault="002F5D21" w:rsidP="00011494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Mieszankę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asfaltową asfaltową należy wbudowywać w odpowiednich warunkach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atmosferycznych.</w:t>
      </w:r>
    </w:p>
    <w:p w:rsidR="002F5D21" w:rsidRPr="00D54E7E" w:rsidRDefault="002F5D21" w:rsidP="00011494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Temperatura otoczenia w ciągu doby nie powinna być niższa od temperatury podanej w tablicy 11.</w:t>
      </w:r>
    </w:p>
    <w:p w:rsidR="002F5D21" w:rsidRPr="00D54E7E" w:rsidRDefault="002F5D21" w:rsidP="00011494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Temperatura otoczenia może być niższa w wypadku stosowania ogrzewania podłoża. Nie dopuszcza się układania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mieszanki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asfaltowej asfaltowej podczas silnego wiatru (V &gt; 16 m/s).</w:t>
      </w:r>
    </w:p>
    <w:p w:rsidR="002F5D21" w:rsidRPr="00D54E7E" w:rsidRDefault="002F5D21" w:rsidP="00011494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W wypadku stosowania mieszanek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asfaltowych z dodatkiem obniżającym temperaturę mieszania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i wbudowania należy indywidualnie określić wymagane warunki otoczenia.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011494" w:rsidRDefault="002F5D21" w:rsidP="0001149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i/>
          <w:sz w:val="18"/>
          <w:szCs w:val="20"/>
        </w:rPr>
      </w:pPr>
      <w:r w:rsidRPr="00011494">
        <w:rPr>
          <w:rFonts w:cs="Calibri"/>
          <w:i/>
          <w:sz w:val="18"/>
          <w:szCs w:val="20"/>
        </w:rPr>
        <w:t>Tablica 11. Minimalna temperatura otoczenia na wysokości 2m podczas wykonywania warstwy wiążącej lub</w:t>
      </w:r>
      <w:r>
        <w:rPr>
          <w:rFonts w:cs="Calibri"/>
          <w:i/>
          <w:sz w:val="18"/>
          <w:szCs w:val="20"/>
        </w:rPr>
        <w:t xml:space="preserve"> </w:t>
      </w:r>
      <w:r w:rsidRPr="00011494">
        <w:rPr>
          <w:rFonts w:cs="Calibri"/>
          <w:i/>
          <w:sz w:val="18"/>
          <w:szCs w:val="20"/>
        </w:rPr>
        <w:t xml:space="preserve">wyrównawczej </w:t>
      </w:r>
      <w:r>
        <w:rPr>
          <w:rFonts w:cs="Calibri"/>
          <w:i/>
          <w:sz w:val="18"/>
          <w:szCs w:val="20"/>
        </w:rPr>
        <w:br/>
      </w:r>
      <w:r w:rsidRPr="00011494">
        <w:rPr>
          <w:rFonts w:cs="Calibri"/>
          <w:i/>
          <w:sz w:val="18"/>
          <w:szCs w:val="20"/>
        </w:rPr>
        <w:t>z betonu asfaltowego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49"/>
        <w:gridCol w:w="3048"/>
        <w:gridCol w:w="3049"/>
      </w:tblGrid>
      <w:tr w:rsidR="002F5D21" w:rsidRPr="0094643B" w:rsidTr="0094643B">
        <w:tc>
          <w:tcPr>
            <w:tcW w:w="3049" w:type="dxa"/>
            <w:vMerge w:val="restart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4643B">
              <w:rPr>
                <w:rFonts w:cs="Calibri"/>
                <w:b/>
                <w:sz w:val="16"/>
                <w:szCs w:val="16"/>
              </w:rPr>
              <w:t>Rodzaj robót</w:t>
            </w:r>
          </w:p>
        </w:tc>
        <w:tc>
          <w:tcPr>
            <w:tcW w:w="6097" w:type="dxa"/>
            <w:gridSpan w:val="2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4643B">
              <w:rPr>
                <w:rFonts w:cs="Calibri"/>
                <w:b/>
                <w:sz w:val="16"/>
                <w:szCs w:val="16"/>
              </w:rPr>
              <w:t>Minimalna temperatura otoczenia [°C]</w:t>
            </w:r>
          </w:p>
        </w:tc>
      </w:tr>
      <w:tr w:rsidR="002F5D21" w:rsidRPr="0094643B" w:rsidTr="0094643B">
        <w:tc>
          <w:tcPr>
            <w:tcW w:w="3049" w:type="dxa"/>
            <w:vMerge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</w:p>
        </w:tc>
        <w:tc>
          <w:tcPr>
            <w:tcW w:w="304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sz w:val="16"/>
                <w:szCs w:val="16"/>
              </w:rPr>
            </w:pPr>
            <w:r w:rsidRPr="0094643B">
              <w:rPr>
                <w:rFonts w:cs="Calibri"/>
                <w:b/>
                <w:sz w:val="16"/>
                <w:szCs w:val="16"/>
              </w:rPr>
              <w:t xml:space="preserve">przed przystąpieniem do robót </w:t>
            </w: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4643B">
              <w:rPr>
                <w:rFonts w:cs="Calibri"/>
                <w:b/>
                <w:sz w:val="16"/>
                <w:szCs w:val="16"/>
              </w:rPr>
              <w:t>w czasie robót</w:t>
            </w:r>
          </w:p>
        </w:tc>
      </w:tr>
      <w:tr w:rsidR="002F5D21" w:rsidRPr="0094643B" w:rsidTr="0094643B"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Warstwa wiążąca</w:t>
            </w:r>
          </w:p>
        </w:tc>
        <w:tc>
          <w:tcPr>
            <w:tcW w:w="304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0</w:t>
            </w: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+5</w:t>
            </w:r>
          </w:p>
        </w:tc>
      </w:tr>
      <w:tr w:rsidR="002F5D21" w:rsidRPr="0094643B" w:rsidTr="0094643B"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Warstwa wyrównawcza</w:t>
            </w:r>
          </w:p>
        </w:tc>
        <w:tc>
          <w:tcPr>
            <w:tcW w:w="3048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0</w:t>
            </w:r>
          </w:p>
        </w:tc>
        <w:tc>
          <w:tcPr>
            <w:tcW w:w="3049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+5</w:t>
            </w:r>
          </w:p>
        </w:tc>
      </w:tr>
    </w:tbl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Właściwości wykonanej warstwy powinny spełniać warunki podane w tablicy 12.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176307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i/>
          <w:sz w:val="18"/>
          <w:szCs w:val="20"/>
        </w:rPr>
      </w:pPr>
      <w:r w:rsidRPr="00176307">
        <w:rPr>
          <w:rFonts w:cs="Calibri"/>
          <w:i/>
          <w:sz w:val="18"/>
          <w:szCs w:val="20"/>
        </w:rPr>
        <w:t>Tablica 12. Właściwości warstwy AC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59"/>
        <w:gridCol w:w="2359"/>
        <w:gridCol w:w="2357"/>
        <w:gridCol w:w="2355"/>
      </w:tblGrid>
      <w:tr w:rsidR="002F5D21" w:rsidRPr="0094643B" w:rsidTr="0094643B">
        <w:tc>
          <w:tcPr>
            <w:tcW w:w="237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4643B">
              <w:rPr>
                <w:rFonts w:cs="Calibri"/>
                <w:b/>
                <w:sz w:val="16"/>
                <w:szCs w:val="16"/>
              </w:rPr>
              <w:t>Typ i wymiar mieszanki</w:t>
            </w:r>
          </w:p>
        </w:tc>
        <w:tc>
          <w:tcPr>
            <w:tcW w:w="237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4643B">
              <w:rPr>
                <w:rFonts w:cs="Calibri"/>
                <w:b/>
                <w:sz w:val="16"/>
                <w:szCs w:val="16"/>
              </w:rPr>
              <w:t>Projektowana grubość</w:t>
            </w:r>
            <w:r w:rsidRPr="0094643B">
              <w:rPr>
                <w:rFonts w:cs="Calibri"/>
                <w:b/>
                <w:sz w:val="16"/>
                <w:szCs w:val="16"/>
              </w:rPr>
              <w:br/>
              <w:t xml:space="preserve">warstwy technologicznej </w:t>
            </w:r>
            <w:r w:rsidRPr="0094643B">
              <w:rPr>
                <w:rFonts w:cs="Calibri"/>
                <w:b/>
                <w:sz w:val="16"/>
                <w:szCs w:val="16"/>
              </w:rPr>
              <w:br/>
              <w:t>[cm]</w:t>
            </w:r>
          </w:p>
        </w:tc>
        <w:tc>
          <w:tcPr>
            <w:tcW w:w="237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4643B">
              <w:rPr>
                <w:rFonts w:cs="Calibri"/>
                <w:b/>
                <w:sz w:val="16"/>
                <w:szCs w:val="16"/>
              </w:rPr>
              <w:t>Wskaźnik zagęszczenia</w:t>
            </w:r>
          </w:p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4643B">
              <w:rPr>
                <w:rFonts w:cs="Calibri"/>
                <w:b/>
                <w:sz w:val="16"/>
                <w:szCs w:val="16"/>
              </w:rPr>
              <w:t>[%]</w:t>
            </w:r>
          </w:p>
        </w:tc>
        <w:tc>
          <w:tcPr>
            <w:tcW w:w="237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4643B">
              <w:rPr>
                <w:rFonts w:cs="Calibri"/>
                <w:b/>
                <w:sz w:val="16"/>
                <w:szCs w:val="16"/>
              </w:rPr>
              <w:t>Zawartość wolnych przestrzeni w warstwie</w:t>
            </w:r>
          </w:p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4643B">
              <w:rPr>
                <w:rFonts w:cs="Calibri"/>
                <w:b/>
                <w:sz w:val="16"/>
                <w:szCs w:val="16"/>
              </w:rPr>
              <w:t>[%(v/v)]</w:t>
            </w:r>
          </w:p>
        </w:tc>
      </w:tr>
      <w:tr w:rsidR="002F5D21" w:rsidRPr="0094643B" w:rsidTr="0094643B">
        <w:tc>
          <w:tcPr>
            <w:tcW w:w="237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 xml:space="preserve">AC11W, KR1—KR2 </w:t>
            </w:r>
          </w:p>
        </w:tc>
        <w:tc>
          <w:tcPr>
            <w:tcW w:w="237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4,0—10,0</w:t>
            </w:r>
          </w:p>
        </w:tc>
        <w:tc>
          <w:tcPr>
            <w:tcW w:w="237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&gt;98</w:t>
            </w:r>
          </w:p>
        </w:tc>
        <w:tc>
          <w:tcPr>
            <w:tcW w:w="237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3,51 7,0</w:t>
            </w:r>
          </w:p>
        </w:tc>
      </w:tr>
      <w:tr w:rsidR="002F5D21" w:rsidRPr="0094643B" w:rsidTr="0094643B">
        <w:tc>
          <w:tcPr>
            <w:tcW w:w="237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 xml:space="preserve">AC 16 W, KR1—KR2 </w:t>
            </w:r>
          </w:p>
        </w:tc>
        <w:tc>
          <w:tcPr>
            <w:tcW w:w="237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5,0—10,0</w:t>
            </w:r>
          </w:p>
        </w:tc>
        <w:tc>
          <w:tcPr>
            <w:tcW w:w="237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&gt;98</w:t>
            </w:r>
          </w:p>
        </w:tc>
        <w:tc>
          <w:tcPr>
            <w:tcW w:w="237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3,51 7,0</w:t>
            </w:r>
          </w:p>
        </w:tc>
      </w:tr>
      <w:tr w:rsidR="002F5D21" w:rsidRPr="0094643B" w:rsidTr="0094643B">
        <w:tc>
          <w:tcPr>
            <w:tcW w:w="237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426"/>
              <w:jc w:val="both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 xml:space="preserve">AC16W, KR3—KR6 </w:t>
            </w:r>
          </w:p>
        </w:tc>
        <w:tc>
          <w:tcPr>
            <w:tcW w:w="237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5,0—10,0</w:t>
            </w:r>
          </w:p>
        </w:tc>
        <w:tc>
          <w:tcPr>
            <w:tcW w:w="237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&gt;98</w:t>
            </w:r>
          </w:p>
        </w:tc>
        <w:tc>
          <w:tcPr>
            <w:tcW w:w="237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4,51 8,0</w:t>
            </w:r>
          </w:p>
        </w:tc>
      </w:tr>
      <w:tr w:rsidR="002F5D21" w:rsidRPr="0094643B" w:rsidTr="0094643B">
        <w:tc>
          <w:tcPr>
            <w:tcW w:w="237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AC22W, KR3—KR6</w:t>
            </w:r>
          </w:p>
        </w:tc>
        <w:tc>
          <w:tcPr>
            <w:tcW w:w="237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7,0—10,0</w:t>
            </w:r>
          </w:p>
        </w:tc>
        <w:tc>
          <w:tcPr>
            <w:tcW w:w="237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&gt;98</w:t>
            </w:r>
          </w:p>
        </w:tc>
        <w:tc>
          <w:tcPr>
            <w:tcW w:w="2374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4,5 —8,0</w:t>
            </w:r>
          </w:p>
        </w:tc>
      </w:tr>
    </w:tbl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Default="002F5D21" w:rsidP="004C1D86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Mieszanka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asfaltową powinna być wbudowywana rozkładarką wyposażoną w układ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automatycznego sterowania grubości warstwy i utrzymywania niwelety zgodnie z dokumentacją pr</w:t>
      </w:r>
      <w:r>
        <w:rPr>
          <w:rFonts w:cs="Calibri"/>
          <w:sz w:val="20"/>
          <w:szCs w:val="20"/>
        </w:rPr>
        <w:t>ojektową.</w:t>
      </w:r>
    </w:p>
    <w:p w:rsidR="002F5D21" w:rsidRPr="00D54E7E" w:rsidRDefault="002F5D21" w:rsidP="004C1D86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W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miejscach niedostępnych dla sprzętu dopuszcza się wbudowywanie ręczne.</w:t>
      </w:r>
    </w:p>
    <w:p w:rsidR="002F5D21" w:rsidRDefault="002F5D21" w:rsidP="004C1D8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Grubość wykonywanej warstwy powinna być sprawdzana co 25 m, w co najmniej trzech miejscach (w osi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i</w:t>
      </w:r>
      <w:r>
        <w:rPr>
          <w:rFonts w:cs="Calibri"/>
          <w:sz w:val="20"/>
          <w:szCs w:val="20"/>
        </w:rPr>
        <w:t xml:space="preserve"> przy brzegach warstwy).</w:t>
      </w:r>
    </w:p>
    <w:p w:rsidR="002F5D21" w:rsidRPr="00D54E7E" w:rsidRDefault="002F5D21" w:rsidP="004C1D86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Warstwy wałowane powinny być równomiernie zagęszczone ciężkimi walcami drogowymi. Do warstw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z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betonu asfaltowego należy stosować walce drogowe stalowe gładkie z możliwością wibracji, oscylacji lub walce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ogumione.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4C1D86" w:rsidRDefault="002F5D21" w:rsidP="00DC0742">
      <w:pPr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br w:type="page"/>
      </w:r>
      <w:r w:rsidRPr="004C1D86">
        <w:rPr>
          <w:rFonts w:cs="Calibri"/>
          <w:b/>
          <w:sz w:val="20"/>
          <w:szCs w:val="20"/>
        </w:rPr>
        <w:t>6. KONTROLA JAKOŚCI ROBÓT</w:t>
      </w:r>
    </w:p>
    <w:p w:rsidR="002F5D21" w:rsidRPr="00D54E7E" w:rsidRDefault="002F5D21" w:rsidP="004C1D8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6.1. Ogólne zasady kontroli jakości robót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Ogólne zasady kontroli jakości robót podano w SST D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M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00.00.00 „Wymagania ogólne".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4C1D8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6.2. Badania przed przystąpieniem do robót</w:t>
      </w:r>
    </w:p>
    <w:p w:rsidR="002F5D21" w:rsidRPr="00D54E7E" w:rsidRDefault="002F5D21" w:rsidP="004C1D86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Przed przystąpien</w:t>
      </w:r>
      <w:r>
        <w:rPr>
          <w:rFonts w:cs="Calibri"/>
          <w:sz w:val="20"/>
          <w:szCs w:val="20"/>
        </w:rPr>
        <w:t xml:space="preserve">iem do robót Wykonawca powinien </w:t>
      </w:r>
      <w:r w:rsidRPr="00D54E7E">
        <w:rPr>
          <w:rFonts w:cs="Calibri"/>
          <w:sz w:val="20"/>
          <w:szCs w:val="20"/>
        </w:rPr>
        <w:t>uzyskać wymagane dokumenty, dopuszczające wyroby budowlane do obrotu i powszechnego stosowania (np.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stwierdzenie o oznakowaniu materiału znakiem CE lub znakiem budowlanym B, certyfikat zgodności, deklarację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zgodności, aprobatę techniczną, ew. bada</w:t>
      </w:r>
      <w:r>
        <w:rPr>
          <w:rFonts w:cs="Calibri"/>
          <w:sz w:val="20"/>
          <w:szCs w:val="20"/>
        </w:rPr>
        <w:t>nia materiałów wykonane przez dos</w:t>
      </w:r>
      <w:r w:rsidRPr="00D54E7E">
        <w:rPr>
          <w:rFonts w:cs="Calibri"/>
          <w:sz w:val="20"/>
          <w:szCs w:val="20"/>
        </w:rPr>
        <w:t>tawców itp.),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ew. wykonać własne badania właściwości materiałów przeznaczonych do wykonania robót, określone przez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Inżyniera.</w:t>
      </w:r>
    </w:p>
    <w:p w:rsidR="002F5D21" w:rsidRPr="00D54E7E" w:rsidRDefault="002F5D21" w:rsidP="004C1D86">
      <w:pPr>
        <w:autoSpaceDE w:val="0"/>
        <w:autoSpaceDN w:val="0"/>
        <w:adjustRightInd w:val="0"/>
        <w:spacing w:after="0" w:line="240" w:lineRule="auto"/>
        <w:ind w:left="426" w:firstLine="282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Wszystkie dokumenty oraz wyniki badań Wykonawca przedstawia Inspektorowi Nadzoru do akceptacji.</w:t>
      </w:r>
    </w:p>
    <w:p w:rsidR="002F5D21" w:rsidRDefault="002F5D21" w:rsidP="004C1D8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</w:p>
    <w:p w:rsidR="002F5D21" w:rsidRPr="00D54E7E" w:rsidRDefault="002F5D21" w:rsidP="004C1D8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6.3. Badania w czasie robót</w:t>
      </w:r>
    </w:p>
    <w:p w:rsidR="002F5D21" w:rsidRDefault="002F5D21" w:rsidP="004C1D8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4C1D8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6.3.1. Uwagi ogólne</w:t>
      </w:r>
    </w:p>
    <w:p w:rsidR="002F5D21" w:rsidRPr="00D54E7E" w:rsidRDefault="002F5D21" w:rsidP="004C1D86">
      <w:pPr>
        <w:autoSpaceDE w:val="0"/>
        <w:autoSpaceDN w:val="0"/>
        <w:adjustRightInd w:val="0"/>
        <w:spacing w:after="0" w:line="240" w:lineRule="auto"/>
        <w:ind w:left="285" w:firstLine="708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Badania dzielą się na:</w:t>
      </w:r>
    </w:p>
    <w:p w:rsidR="002F5D21" w:rsidRPr="00D54E7E" w:rsidRDefault="002F5D21" w:rsidP="004C1D86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badania wykonawcy (w ramach własnego nadzoru),</w:t>
      </w:r>
    </w:p>
    <w:p w:rsidR="002F5D21" w:rsidRPr="00D54E7E" w:rsidRDefault="002F5D21" w:rsidP="004C1D86">
      <w:pPr>
        <w:autoSpaceDE w:val="0"/>
        <w:autoSpaceDN w:val="0"/>
        <w:adjustRightInd w:val="0"/>
        <w:spacing w:after="0" w:line="240" w:lineRule="auto"/>
        <w:ind w:left="993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badania kontrolne (w ramach nadzoru zleceniodawcy 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 Inspektora Nadzoru).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6.3.2. Badania Wykonawcy</w:t>
      </w:r>
    </w:p>
    <w:p w:rsidR="002F5D21" w:rsidRPr="00D54E7E" w:rsidRDefault="002F5D21" w:rsidP="004C1D86">
      <w:pPr>
        <w:autoSpaceDE w:val="0"/>
        <w:autoSpaceDN w:val="0"/>
        <w:adjustRightInd w:val="0"/>
        <w:spacing w:after="0" w:line="240" w:lineRule="auto"/>
        <w:ind w:left="924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Badania Wykonawcy są wykonywane przez Wykonawcę lub jego zleceniobiorców celem sprawdzenia, czy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jakość materiałów budowlanych (mieszanek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 xml:space="preserve">asfaltowych i ich składników, lepiszczy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i materiałów do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uszczelnień itp.) oraz gotowej warstwy (wbudowane warstwy asfaltowe, połączenia itp.) spełniają wymagania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określone w kontrakcie.</w:t>
      </w:r>
    </w:p>
    <w:p w:rsidR="002F5D21" w:rsidRPr="00D54E7E" w:rsidRDefault="002F5D21" w:rsidP="004C1D86">
      <w:pPr>
        <w:autoSpaceDE w:val="0"/>
        <w:autoSpaceDN w:val="0"/>
        <w:adjustRightInd w:val="0"/>
        <w:spacing w:after="0" w:line="240" w:lineRule="auto"/>
        <w:ind w:left="924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Wykonawca powinien wykonywać te badania podczas realizacji kontraktu, z niezbędną starannością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i w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 xml:space="preserve">wymaganym zakresie. Wyniki należy zapisywać w protokołach. W razie stwierdzenia uchybień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w stosunku do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wymagań kontraktu, ich przyczyny należy niezwłocznie usunąć.</w:t>
      </w:r>
    </w:p>
    <w:p w:rsidR="002F5D21" w:rsidRPr="00D54E7E" w:rsidRDefault="002F5D21" w:rsidP="004C1D86">
      <w:pPr>
        <w:autoSpaceDE w:val="0"/>
        <w:autoSpaceDN w:val="0"/>
        <w:adjustRightInd w:val="0"/>
        <w:spacing w:after="0" w:line="240" w:lineRule="auto"/>
        <w:ind w:left="924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Wyniki badań Wykonawcy należy przekazywać Inżynierowi na jego żądanie. Inżynier może zdecydować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o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dokonaniu odbioru na podstawie badań Wykonawcy. W razie zastrzeżeń Inżynier może przeprowadzić badania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kontrolne według pkt 6.3.3.</w:t>
      </w:r>
    </w:p>
    <w:p w:rsidR="002F5D21" w:rsidRPr="00D54E7E" w:rsidRDefault="002F5D21" w:rsidP="004C1D86">
      <w:pPr>
        <w:autoSpaceDE w:val="0"/>
        <w:autoSpaceDN w:val="0"/>
        <w:adjustRightInd w:val="0"/>
        <w:spacing w:after="0" w:line="240" w:lineRule="auto"/>
        <w:ind w:left="924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Zakres badań Wykonawcy związany z wykonywaniem nawierzchni:</w:t>
      </w:r>
    </w:p>
    <w:p w:rsidR="002F5D21" w:rsidRPr="00E174BD" w:rsidRDefault="002F5D21" w:rsidP="00E174B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1276" w:hanging="218"/>
        <w:jc w:val="both"/>
        <w:rPr>
          <w:rFonts w:cs="Calibri"/>
          <w:sz w:val="20"/>
          <w:szCs w:val="20"/>
        </w:rPr>
      </w:pPr>
      <w:r w:rsidRPr="00E174BD">
        <w:rPr>
          <w:rFonts w:cs="Calibri"/>
          <w:sz w:val="20"/>
          <w:szCs w:val="20"/>
        </w:rPr>
        <w:t>pomiar temperatury powietrza, pomiar temperatury mieszanki mineralno</w:t>
      </w:r>
      <w:r>
        <w:rPr>
          <w:rFonts w:cs="Calibri"/>
          <w:sz w:val="20"/>
          <w:szCs w:val="20"/>
        </w:rPr>
        <w:t>—</w:t>
      </w:r>
      <w:r w:rsidRPr="00E174BD">
        <w:rPr>
          <w:rFonts w:cs="Calibri"/>
          <w:sz w:val="20"/>
          <w:szCs w:val="20"/>
        </w:rPr>
        <w:t>asfaltowej podczas   wykonywania nawierzchni (wg PN</w:t>
      </w:r>
      <w:r>
        <w:rPr>
          <w:rFonts w:cs="Calibri"/>
          <w:sz w:val="20"/>
          <w:szCs w:val="20"/>
        </w:rPr>
        <w:t>—</w:t>
      </w:r>
      <w:r w:rsidRPr="00E174BD">
        <w:rPr>
          <w:rFonts w:cs="Calibri"/>
          <w:sz w:val="20"/>
          <w:szCs w:val="20"/>
        </w:rPr>
        <w:t>EN 12697</w:t>
      </w:r>
      <w:r>
        <w:rPr>
          <w:rFonts w:cs="Calibri"/>
          <w:sz w:val="20"/>
          <w:szCs w:val="20"/>
        </w:rPr>
        <w:t>—</w:t>
      </w:r>
      <w:r w:rsidRPr="00E174BD">
        <w:rPr>
          <w:rFonts w:cs="Calibri"/>
          <w:sz w:val="20"/>
          <w:szCs w:val="20"/>
        </w:rPr>
        <w:t xml:space="preserve"> 13 [36]),</w:t>
      </w:r>
    </w:p>
    <w:p w:rsidR="002F5D21" w:rsidRPr="00E174BD" w:rsidRDefault="002F5D21" w:rsidP="00E174B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1276" w:hanging="218"/>
        <w:jc w:val="both"/>
        <w:rPr>
          <w:rFonts w:cs="Calibri"/>
          <w:sz w:val="20"/>
          <w:szCs w:val="20"/>
        </w:rPr>
      </w:pPr>
      <w:r w:rsidRPr="00E174BD">
        <w:rPr>
          <w:rFonts w:cs="Calibri"/>
          <w:sz w:val="20"/>
          <w:szCs w:val="20"/>
        </w:rPr>
        <w:t>ocena wizualna mieszanki mineralno</w:t>
      </w:r>
      <w:r>
        <w:rPr>
          <w:rFonts w:cs="Calibri"/>
          <w:sz w:val="20"/>
          <w:szCs w:val="20"/>
        </w:rPr>
        <w:t>—</w:t>
      </w:r>
      <w:r w:rsidRPr="00E174BD">
        <w:rPr>
          <w:rFonts w:cs="Calibri"/>
          <w:sz w:val="20"/>
          <w:szCs w:val="20"/>
        </w:rPr>
        <w:t>asfaltowej,</w:t>
      </w:r>
    </w:p>
    <w:p w:rsidR="002F5D21" w:rsidRPr="00E174BD" w:rsidRDefault="002F5D21" w:rsidP="00E174B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1276" w:hanging="218"/>
        <w:jc w:val="both"/>
        <w:rPr>
          <w:rFonts w:cs="Calibri"/>
          <w:sz w:val="20"/>
          <w:szCs w:val="20"/>
        </w:rPr>
      </w:pPr>
      <w:r w:rsidRPr="00E174BD">
        <w:rPr>
          <w:rFonts w:cs="Calibri"/>
          <w:sz w:val="20"/>
          <w:szCs w:val="20"/>
        </w:rPr>
        <w:t xml:space="preserve">wykaz ilości materiałów lub grubości wykonanej warstwy, </w:t>
      </w:r>
    </w:p>
    <w:p w:rsidR="002F5D21" w:rsidRPr="00E174BD" w:rsidRDefault="002F5D21" w:rsidP="00E174B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1276" w:hanging="218"/>
        <w:jc w:val="both"/>
        <w:rPr>
          <w:rFonts w:cs="Calibri"/>
          <w:sz w:val="20"/>
          <w:szCs w:val="20"/>
        </w:rPr>
      </w:pPr>
      <w:r w:rsidRPr="00E174BD">
        <w:rPr>
          <w:rFonts w:cs="Calibri"/>
          <w:sz w:val="20"/>
          <w:szCs w:val="20"/>
        </w:rPr>
        <w:t xml:space="preserve">pomiar spadku poprzecznego warstwy asfaltowej, pomiar równości warstwy asfaltowej </w:t>
      </w:r>
      <w:r>
        <w:rPr>
          <w:rFonts w:cs="Calibri"/>
          <w:sz w:val="20"/>
          <w:szCs w:val="20"/>
        </w:rPr>
        <w:br/>
      </w:r>
      <w:r w:rsidRPr="00E174BD">
        <w:rPr>
          <w:rFonts w:cs="Calibri"/>
          <w:sz w:val="20"/>
          <w:szCs w:val="20"/>
        </w:rPr>
        <w:t>(wg pkt</w:t>
      </w:r>
      <w:r>
        <w:rPr>
          <w:rFonts w:cs="Calibri"/>
          <w:sz w:val="20"/>
          <w:szCs w:val="20"/>
        </w:rPr>
        <w:t>.</w:t>
      </w:r>
      <w:r w:rsidRPr="00E174BD">
        <w:rPr>
          <w:rFonts w:cs="Calibri"/>
          <w:sz w:val="20"/>
          <w:szCs w:val="20"/>
        </w:rPr>
        <w:t xml:space="preserve"> 6.4.2.5),</w:t>
      </w:r>
    </w:p>
    <w:p w:rsidR="002F5D21" w:rsidRPr="00E174BD" w:rsidRDefault="002F5D21" w:rsidP="00E174B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1276" w:hanging="218"/>
        <w:jc w:val="both"/>
        <w:rPr>
          <w:rFonts w:cs="Calibri"/>
          <w:sz w:val="20"/>
          <w:szCs w:val="20"/>
        </w:rPr>
      </w:pPr>
      <w:r w:rsidRPr="00E174BD">
        <w:rPr>
          <w:rFonts w:cs="Calibri"/>
          <w:sz w:val="20"/>
          <w:szCs w:val="20"/>
        </w:rPr>
        <w:t>pomiar parametrów geometrycznych poboczy,</w:t>
      </w:r>
    </w:p>
    <w:p w:rsidR="002F5D21" w:rsidRPr="00E174BD" w:rsidRDefault="002F5D21" w:rsidP="00E174B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1276" w:hanging="218"/>
        <w:jc w:val="both"/>
        <w:rPr>
          <w:rFonts w:cs="Calibri"/>
          <w:sz w:val="20"/>
          <w:szCs w:val="20"/>
        </w:rPr>
      </w:pPr>
      <w:r w:rsidRPr="00E174BD">
        <w:rPr>
          <w:rFonts w:cs="Calibri"/>
          <w:sz w:val="20"/>
          <w:szCs w:val="20"/>
        </w:rPr>
        <w:t>ocena wizualna jednorodności powierzchni warstwy,</w:t>
      </w:r>
    </w:p>
    <w:p w:rsidR="002F5D21" w:rsidRPr="00E174BD" w:rsidRDefault="002F5D21" w:rsidP="00E174BD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1276" w:hanging="218"/>
        <w:jc w:val="both"/>
        <w:rPr>
          <w:rFonts w:cs="Calibri"/>
          <w:sz w:val="20"/>
          <w:szCs w:val="20"/>
        </w:rPr>
      </w:pPr>
      <w:r w:rsidRPr="00E174BD">
        <w:rPr>
          <w:rFonts w:cs="Calibri"/>
          <w:sz w:val="20"/>
          <w:szCs w:val="20"/>
        </w:rPr>
        <w:t>ocena wizualna jakości wykonania połączeń technologicznych.</w:t>
      </w:r>
    </w:p>
    <w:p w:rsidR="002F5D21" w:rsidRDefault="002F5D21" w:rsidP="00B54B6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B54B6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6.3.3. Badania kontrolne</w:t>
      </w:r>
    </w:p>
    <w:p w:rsidR="002F5D21" w:rsidRPr="00D54E7E" w:rsidRDefault="002F5D21" w:rsidP="004C1D86">
      <w:pPr>
        <w:autoSpaceDE w:val="0"/>
        <w:autoSpaceDN w:val="0"/>
        <w:adjustRightInd w:val="0"/>
        <w:spacing w:after="0" w:line="240" w:lineRule="auto"/>
        <w:ind w:left="924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Badania kontrolne są badaniami Inspektora Nadzoru, których celem jest sprawdzenie, czy jakość materiałów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budowlanych (mieszanek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asfaltowych i ich składników, lepiszczy i materiałów do uszczelnień itp.) oraz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gotowej warstwy (wbudowane warstwy asfaltowe, połączenia itp.) spełniają wymagania określone w kontrakcie.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 xml:space="preserve">Wyniki tych badań są podstawą odbioru. Pobieraniem próbek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i wykonaniem badań na miejscu budowy zajmuje się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Inżynier w obecności Wykonawcy. Badania odbywają się również wtedy, gdy Wykonawca zostanie w porę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powiadomiony o ich terminie, jednak nie będzie przy nich obecny.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Rodzaj badań kontrolnych mieszanki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asfaltowej i wykonanej z niej warstwy podano w tablicy 13.</w:t>
      </w:r>
    </w:p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Default="002F5D21" w:rsidP="00DC0742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br w:type="page"/>
      </w:r>
      <w:r>
        <w:rPr>
          <w:rFonts w:cs="Calibri"/>
          <w:sz w:val="20"/>
          <w:szCs w:val="20"/>
        </w:rPr>
        <w:tab/>
      </w:r>
      <w:r w:rsidRPr="00D54E7E">
        <w:rPr>
          <w:rFonts w:cs="Calibri"/>
          <w:sz w:val="20"/>
          <w:szCs w:val="20"/>
        </w:rPr>
        <w:t>Tablica 13. Rodzaj badań kontrolnych</w:t>
      </w:r>
    </w:p>
    <w:p w:rsidR="002F5D21" w:rsidRPr="00D54E7E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0"/>
        <w:gridCol w:w="8676"/>
      </w:tblGrid>
      <w:tr w:rsidR="002F5D21" w:rsidRPr="0094643B" w:rsidTr="0094643B">
        <w:tc>
          <w:tcPr>
            <w:tcW w:w="470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 xml:space="preserve">Lp. </w:t>
            </w:r>
          </w:p>
        </w:tc>
        <w:tc>
          <w:tcPr>
            <w:tcW w:w="8676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>Rodzaj badań</w:t>
            </w:r>
          </w:p>
        </w:tc>
      </w:tr>
      <w:tr w:rsidR="002F5D21" w:rsidRPr="0094643B" w:rsidTr="0094643B">
        <w:tc>
          <w:tcPr>
            <w:tcW w:w="470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 xml:space="preserve">1 </w:t>
            </w:r>
          </w:p>
        </w:tc>
        <w:tc>
          <w:tcPr>
            <w:tcW w:w="8676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 xml:space="preserve">Mieszanka mineralno—asfaltowa </w:t>
            </w:r>
            <w:r w:rsidRPr="0094643B">
              <w:rPr>
                <w:rFonts w:cs="Calibri"/>
                <w:sz w:val="20"/>
                <w:szCs w:val="20"/>
                <w:vertAlign w:val="superscript"/>
              </w:rPr>
              <w:t>a)'b)</w:t>
            </w:r>
          </w:p>
        </w:tc>
      </w:tr>
      <w:tr w:rsidR="002F5D21" w:rsidRPr="0094643B" w:rsidTr="0094643B">
        <w:tc>
          <w:tcPr>
            <w:tcW w:w="470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 xml:space="preserve">1.1 </w:t>
            </w:r>
          </w:p>
        </w:tc>
        <w:tc>
          <w:tcPr>
            <w:tcW w:w="8676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>Uziarnienie</w:t>
            </w:r>
          </w:p>
        </w:tc>
      </w:tr>
      <w:tr w:rsidR="002F5D21" w:rsidRPr="0094643B" w:rsidTr="0094643B">
        <w:tc>
          <w:tcPr>
            <w:tcW w:w="470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 xml:space="preserve">1.2 </w:t>
            </w:r>
          </w:p>
        </w:tc>
        <w:tc>
          <w:tcPr>
            <w:tcW w:w="8676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>Zawartość lepiszcza</w:t>
            </w:r>
          </w:p>
        </w:tc>
      </w:tr>
      <w:tr w:rsidR="002F5D21" w:rsidRPr="0094643B" w:rsidTr="0094643B">
        <w:tc>
          <w:tcPr>
            <w:tcW w:w="470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 xml:space="preserve">1.3 </w:t>
            </w:r>
          </w:p>
        </w:tc>
        <w:tc>
          <w:tcPr>
            <w:tcW w:w="8676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>Temperatura mięknienia lepiszcza odzyskanego</w:t>
            </w:r>
          </w:p>
        </w:tc>
      </w:tr>
      <w:tr w:rsidR="002F5D21" w:rsidRPr="0094643B" w:rsidTr="0094643B">
        <w:tc>
          <w:tcPr>
            <w:tcW w:w="470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 xml:space="preserve">1.4 </w:t>
            </w:r>
          </w:p>
        </w:tc>
        <w:tc>
          <w:tcPr>
            <w:tcW w:w="8676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>Gęstość i zawartość wolnych przestrzeni próbki</w:t>
            </w:r>
          </w:p>
        </w:tc>
      </w:tr>
      <w:tr w:rsidR="002F5D21" w:rsidRPr="0094643B" w:rsidTr="0094643B">
        <w:tc>
          <w:tcPr>
            <w:tcW w:w="470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 xml:space="preserve">2 </w:t>
            </w:r>
          </w:p>
        </w:tc>
        <w:tc>
          <w:tcPr>
            <w:tcW w:w="8676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>Warstwa asfaltowa</w:t>
            </w:r>
          </w:p>
        </w:tc>
      </w:tr>
      <w:tr w:rsidR="002F5D21" w:rsidRPr="0094643B" w:rsidTr="0094643B">
        <w:tc>
          <w:tcPr>
            <w:tcW w:w="470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 xml:space="preserve">2.1 </w:t>
            </w:r>
          </w:p>
        </w:tc>
        <w:tc>
          <w:tcPr>
            <w:tcW w:w="8676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 xml:space="preserve">Wskaźnik zagęszczenia </w:t>
            </w:r>
            <w:r w:rsidRPr="0094643B">
              <w:rPr>
                <w:rFonts w:cs="Calibri"/>
                <w:sz w:val="20"/>
                <w:szCs w:val="20"/>
                <w:vertAlign w:val="superscript"/>
              </w:rPr>
              <w:t>a'</w:t>
            </w:r>
          </w:p>
        </w:tc>
      </w:tr>
      <w:tr w:rsidR="002F5D21" w:rsidRPr="0094643B" w:rsidTr="0094643B">
        <w:tc>
          <w:tcPr>
            <w:tcW w:w="470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 xml:space="preserve">2.2 </w:t>
            </w:r>
          </w:p>
        </w:tc>
        <w:tc>
          <w:tcPr>
            <w:tcW w:w="8676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 xml:space="preserve">Wskaźnik zagęszczenia </w:t>
            </w:r>
            <w:r w:rsidRPr="0094643B">
              <w:rPr>
                <w:rFonts w:cs="Calibri"/>
                <w:sz w:val="20"/>
                <w:szCs w:val="20"/>
                <w:vertAlign w:val="superscript"/>
              </w:rPr>
              <w:t>a'</w:t>
            </w:r>
          </w:p>
        </w:tc>
      </w:tr>
      <w:tr w:rsidR="002F5D21" w:rsidRPr="0094643B" w:rsidTr="0094643B">
        <w:tc>
          <w:tcPr>
            <w:tcW w:w="470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 xml:space="preserve">2.3 </w:t>
            </w:r>
          </w:p>
        </w:tc>
        <w:tc>
          <w:tcPr>
            <w:tcW w:w="8676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>Równość</w:t>
            </w:r>
          </w:p>
        </w:tc>
      </w:tr>
      <w:tr w:rsidR="002F5D21" w:rsidRPr="0094643B" w:rsidTr="0094643B">
        <w:tc>
          <w:tcPr>
            <w:tcW w:w="470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 xml:space="preserve">2.4 </w:t>
            </w:r>
          </w:p>
        </w:tc>
        <w:tc>
          <w:tcPr>
            <w:tcW w:w="8676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>Grubość lub ilość materiału</w:t>
            </w:r>
          </w:p>
        </w:tc>
      </w:tr>
      <w:tr w:rsidR="002F5D21" w:rsidRPr="0094643B" w:rsidTr="0094643B">
        <w:tc>
          <w:tcPr>
            <w:tcW w:w="470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 xml:space="preserve">2.5 </w:t>
            </w:r>
          </w:p>
        </w:tc>
        <w:tc>
          <w:tcPr>
            <w:tcW w:w="8676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 xml:space="preserve">Zawartość wolnych przestrzeni </w:t>
            </w:r>
            <w:r w:rsidRPr="0094643B">
              <w:rPr>
                <w:rFonts w:cs="Calibri"/>
                <w:sz w:val="20"/>
                <w:szCs w:val="20"/>
                <w:vertAlign w:val="superscript"/>
              </w:rPr>
              <w:t>a—*</w:t>
            </w:r>
          </w:p>
        </w:tc>
      </w:tr>
      <w:tr w:rsidR="002F5D21" w:rsidRPr="0094643B" w:rsidTr="0094643B">
        <w:tc>
          <w:tcPr>
            <w:tcW w:w="470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 xml:space="preserve">2.6 </w:t>
            </w:r>
          </w:p>
        </w:tc>
        <w:tc>
          <w:tcPr>
            <w:tcW w:w="8676" w:type="dxa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</w:rPr>
              <w:t>Właściwości przeciwpoślizgowe</w:t>
            </w:r>
          </w:p>
        </w:tc>
      </w:tr>
      <w:tr w:rsidR="002F5D21" w:rsidRPr="0094643B" w:rsidTr="0094643B">
        <w:tc>
          <w:tcPr>
            <w:tcW w:w="9146" w:type="dxa"/>
            <w:gridSpan w:val="2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141"/>
              <w:jc w:val="both"/>
              <w:rPr>
                <w:rFonts w:cs="Calibri"/>
                <w:sz w:val="20"/>
                <w:szCs w:val="20"/>
              </w:rPr>
            </w:pPr>
            <w:r w:rsidRPr="0094643B">
              <w:rPr>
                <w:rFonts w:cs="Calibri"/>
                <w:sz w:val="20"/>
                <w:szCs w:val="20"/>
                <w:vertAlign w:val="superscript"/>
              </w:rPr>
              <w:t xml:space="preserve">a) </w:t>
            </w:r>
            <w:r w:rsidRPr="0094643B">
              <w:rPr>
                <w:rFonts w:cs="Calibri"/>
                <w:sz w:val="20"/>
                <w:szCs w:val="20"/>
              </w:rPr>
              <w:t>do każdej warstwy i na każde rozpoczęte 6000 m</w:t>
            </w:r>
            <w:r w:rsidRPr="0094643B">
              <w:rPr>
                <w:rFonts w:cs="Calibri"/>
                <w:sz w:val="20"/>
                <w:szCs w:val="20"/>
                <w:vertAlign w:val="superscript"/>
              </w:rPr>
              <w:t xml:space="preserve">2 </w:t>
            </w:r>
            <w:r w:rsidRPr="0094643B">
              <w:rPr>
                <w:rFonts w:cs="Calibri"/>
                <w:sz w:val="20"/>
                <w:szCs w:val="20"/>
              </w:rPr>
              <w:t>nawierzchni jedna próbka; w razie potrzeby liczba próbek może zostać zwiększona (np. nawierzchnie dróg w terenie zabudowy) w razie potrzeby specjalne kruszywa i dodatki J</w:t>
            </w:r>
          </w:p>
        </w:tc>
      </w:tr>
    </w:tbl>
    <w:p w:rsidR="002F5D21" w:rsidRDefault="002F5D21" w:rsidP="00D507F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6.3.4. Badania kontrolne dodatkowe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938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W wypadku uznania, że jeden z wyników badań kontrolnych nie jest reprezentatywny dla ocenianego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938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odcinka budowy, Wykonawca ma prawo żądać przeprowadzenia badań kontrolnych dodatkowych.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938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Inżynier i Wykonawca decydują wspólnie o miejscach pobierania próbek i wyznaczeniu odcinków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częściowych ocenianego odcinka budowy. Jeżeli odcinek częściowy przyporządkowany do badań kontrolnych nie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może być jednoznacznie i zgodnie wyznaczony, to odcinek ten nie powinien być mnie</w:t>
      </w:r>
      <w:r>
        <w:rPr>
          <w:rFonts w:cs="Calibri"/>
          <w:sz w:val="20"/>
          <w:szCs w:val="20"/>
        </w:rPr>
        <w:t xml:space="preserve">jszy niż 20% ocenianego odcinka </w:t>
      </w:r>
      <w:r w:rsidRPr="00D54E7E">
        <w:rPr>
          <w:rFonts w:cs="Calibri"/>
          <w:sz w:val="20"/>
          <w:szCs w:val="20"/>
        </w:rPr>
        <w:t>budowy.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938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Do odbioru uwzględniane są wyniki badań kontrolnych i b</w:t>
      </w:r>
      <w:r>
        <w:rPr>
          <w:rFonts w:cs="Calibri"/>
          <w:sz w:val="20"/>
          <w:szCs w:val="20"/>
        </w:rPr>
        <w:t xml:space="preserve">adań kontrolnych dodatkowych do </w:t>
      </w:r>
      <w:r w:rsidRPr="00D54E7E">
        <w:rPr>
          <w:rFonts w:cs="Calibri"/>
          <w:sz w:val="20"/>
          <w:szCs w:val="20"/>
        </w:rPr>
        <w:t>wyznaczonych odcinków częściowych.</w:t>
      </w:r>
    </w:p>
    <w:p w:rsidR="002F5D21" w:rsidRDefault="002F5D21" w:rsidP="00D01D3D">
      <w:pPr>
        <w:autoSpaceDE w:val="0"/>
        <w:autoSpaceDN w:val="0"/>
        <w:adjustRightInd w:val="0"/>
        <w:spacing w:after="0" w:line="240" w:lineRule="auto"/>
        <w:ind w:left="938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Koszty badań kontrolnych dodatkowych zażądanych przez Wykonawcę ponosi Wykonawca.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938"/>
        <w:jc w:val="both"/>
        <w:rPr>
          <w:rFonts w:cs="Calibri"/>
          <w:sz w:val="20"/>
          <w:szCs w:val="20"/>
        </w:rPr>
      </w:pP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6.3.5. Badania arbitrażowe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924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Badania arbitrażowe są powtórzeniem badań kontrolnych, co do których istnieją uzasadnione wątpliwości ze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strony Inżyniera lub Wykonawcy (np. na podstawie własnych badań).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924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Badania arbitrażowe wykonuje na wniosek strony kontraktu niezależne laboratorium, które nie wykonywało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badań kontrolnych.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924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Koszty badań arbitrażowych wraz ze wszystkimi kosztami ubocznymi ponosi strona, na której niekorzyść</w:t>
      </w:r>
    </w:p>
    <w:p w:rsidR="002F5D21" w:rsidRDefault="002F5D21" w:rsidP="00D01D3D">
      <w:pPr>
        <w:autoSpaceDE w:val="0"/>
        <w:autoSpaceDN w:val="0"/>
        <w:adjustRightInd w:val="0"/>
        <w:spacing w:after="0" w:line="240" w:lineRule="auto"/>
        <w:ind w:left="924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przemawia wynik badania.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924"/>
        <w:jc w:val="both"/>
        <w:rPr>
          <w:rFonts w:cs="Calibri"/>
          <w:sz w:val="20"/>
          <w:szCs w:val="20"/>
        </w:rPr>
      </w:pP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6.4. Właściwości warstwy i nawierzchni oraz dopuszczalne odchyłki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6.4.1. Mieszanka mineralno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asfaltowa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924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Właściwości materiałów należy oceniać na podstawie badań pobranych próbek mieszanki mineralnoasfaltowej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przed wbudowaniem (wbudowanie oznacza wykonanie warstwy asfaltowej). Wyjątkowo dopuszcza się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badania próbek pobranych z wykonanej warstwy asfaltowej.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6.4.2. Warstwa asfaltowa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924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6.4.2.1. Grubość warstwy oraz ilość materiału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Grubość wykonanej warstwy oznaczana według PN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EN 12697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36 [40] oraz ilość wbudowanego materiału na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określoną powierzchnię (dotyczy przede wszystkim cienkich warstw) mogą odbiegać od projektu o wartości podane w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tablicy 14.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Grubość warstw dla poszczególnych dróg według projektu technicznego –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przedmiaru robót</w:t>
      </w:r>
      <w:r>
        <w:rPr>
          <w:rFonts w:cs="Calibri"/>
          <w:sz w:val="20"/>
          <w:szCs w:val="20"/>
        </w:rPr>
        <w:t>.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 xml:space="preserve">W wypadku określania ilości materiału na powierzchnię i średniej wartości grubości warstwy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z reguły należy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przyjąć za podstawę cały odcinek budowy. Inżynier ma prawo sprawdzać odcinki częściowe. Odcinek częściowy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 xml:space="preserve">powinien zawierać co najmniej jedną dzienną działkę roboczą.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Do odcinka częściowego obowiązują te same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wymagania jak do odcinka budowy.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Za grubość warstwy lub warstw przyjmuje się średnią arytmetyczną wszystkich pojedynczych oznaczeń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grubości warstwy na całym odcinku budowy lub odcinku częściowym.</w:t>
      </w:r>
    </w:p>
    <w:p w:rsidR="002F5D21" w:rsidRPr="00D54E7E" w:rsidRDefault="002F5D21" w:rsidP="00DC0742">
      <w:pPr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br w:type="page"/>
      </w:r>
      <w:r>
        <w:rPr>
          <w:rFonts w:cs="Calibri"/>
          <w:sz w:val="20"/>
          <w:szCs w:val="20"/>
        </w:rPr>
        <w:tab/>
      </w:r>
      <w:r w:rsidRPr="00D54E7E">
        <w:rPr>
          <w:rFonts w:cs="Calibri"/>
          <w:sz w:val="20"/>
          <w:szCs w:val="20"/>
        </w:rPr>
        <w:t>Tablica 14. Dopuszczalne odchyłki grubości warstwy oraz ilości materiału na określonej powierzchni, [%]</w:t>
      </w:r>
    </w:p>
    <w:tbl>
      <w:tblPr>
        <w:tblW w:w="0" w:type="auto"/>
        <w:tblInd w:w="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63"/>
        <w:gridCol w:w="3085"/>
      </w:tblGrid>
      <w:tr w:rsidR="002F5D21" w:rsidRPr="0094643B" w:rsidTr="0094643B">
        <w:trPr>
          <w:trHeight w:val="336"/>
        </w:trPr>
        <w:tc>
          <w:tcPr>
            <w:tcW w:w="5563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4643B">
              <w:rPr>
                <w:rFonts w:cs="Calibri"/>
                <w:b/>
                <w:sz w:val="16"/>
                <w:szCs w:val="16"/>
              </w:rPr>
              <w:t>Warunki oceny</w:t>
            </w:r>
          </w:p>
        </w:tc>
        <w:tc>
          <w:tcPr>
            <w:tcW w:w="3085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4643B">
              <w:rPr>
                <w:rFonts w:cs="Calibri"/>
                <w:b/>
                <w:sz w:val="16"/>
                <w:szCs w:val="16"/>
              </w:rPr>
              <w:t>Warstwa asfaltowa ACa)</w:t>
            </w:r>
          </w:p>
        </w:tc>
      </w:tr>
      <w:tr w:rsidR="002F5D21" w:rsidRPr="0094643B" w:rsidTr="0094643B">
        <w:tc>
          <w:tcPr>
            <w:tcW w:w="5563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A — Średnia z wielu oznaczeń grubości oraz ilości</w:t>
            </w:r>
          </w:p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1. — duży odcinek budowy, powierzchnia większa niż 6000 m</w:t>
            </w:r>
            <w:r w:rsidRPr="0094643B">
              <w:rPr>
                <w:rFonts w:cs="Calibri"/>
                <w:sz w:val="16"/>
                <w:szCs w:val="16"/>
                <w:vertAlign w:val="superscript"/>
              </w:rPr>
              <w:t>2</w:t>
            </w:r>
            <w:r w:rsidRPr="0094643B">
              <w:rPr>
                <w:rFonts w:cs="Calibri"/>
                <w:sz w:val="16"/>
                <w:szCs w:val="16"/>
              </w:rPr>
              <w:t xml:space="preserve"> lub</w:t>
            </w:r>
          </w:p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 xml:space="preserve">    — droga ograniczona krawężnikami, powierzchnia większa niż 1000 m</w:t>
            </w:r>
            <w:r w:rsidRPr="0094643B">
              <w:rPr>
                <w:rFonts w:cs="Calibri"/>
                <w:sz w:val="16"/>
                <w:szCs w:val="16"/>
                <w:vertAlign w:val="superscript"/>
              </w:rPr>
              <w:t>2</w:t>
            </w:r>
            <w:r w:rsidRPr="0094643B">
              <w:rPr>
                <w:rFonts w:cs="Calibri"/>
                <w:sz w:val="16"/>
                <w:szCs w:val="16"/>
              </w:rPr>
              <w:t xml:space="preserve"> lub</w:t>
            </w:r>
          </w:p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2. — mały odcinek budowy</w:t>
            </w:r>
          </w:p>
        </w:tc>
        <w:tc>
          <w:tcPr>
            <w:tcW w:w="3085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</w:p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&lt;10</w:t>
            </w:r>
          </w:p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&lt;15</w:t>
            </w:r>
          </w:p>
        </w:tc>
      </w:tr>
      <w:tr w:rsidR="002F5D21" w:rsidRPr="0094643B" w:rsidTr="0094643B">
        <w:tc>
          <w:tcPr>
            <w:tcW w:w="5563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B — Pojedyncze oznaczenie grubości i 1</w:t>
            </w:r>
          </w:p>
        </w:tc>
        <w:tc>
          <w:tcPr>
            <w:tcW w:w="3085" w:type="dxa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</w:rPr>
              <w:t>5</w:t>
            </w:r>
          </w:p>
        </w:tc>
      </w:tr>
      <w:tr w:rsidR="002F5D21" w:rsidRPr="0094643B" w:rsidTr="0094643B">
        <w:tc>
          <w:tcPr>
            <w:tcW w:w="8648" w:type="dxa"/>
            <w:gridSpan w:val="2"/>
            <w:vAlign w:val="center"/>
          </w:tcPr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16"/>
                <w:szCs w:val="16"/>
              </w:rPr>
            </w:pPr>
            <w:r w:rsidRPr="0094643B">
              <w:rPr>
                <w:rFonts w:cs="Calibri"/>
                <w:sz w:val="16"/>
                <w:szCs w:val="16"/>
                <w:vertAlign w:val="superscript"/>
              </w:rPr>
              <w:t xml:space="preserve">a) </w:t>
            </w:r>
            <w:r w:rsidRPr="0094643B">
              <w:rPr>
                <w:rFonts w:cs="Calibri"/>
                <w:sz w:val="16"/>
                <w:szCs w:val="16"/>
              </w:rPr>
              <w:t xml:space="preserve">w wypadku budowy dwuetapowej, tzn. gdy warstwa ścieralna jest układana z opóźnieniem, wartość z wiersza B odpowiednio obowiązuje; w pierwszym etapie budowy do górnej warstwy nawierzchni obowiązuje wartość 25%, a do łącznej grubości warstw etapu 1 </w:t>
            </w:r>
            <w:r w:rsidRPr="0094643B">
              <w:rPr>
                <w:rFonts w:ascii="Arial" w:hAnsi="Arial" w:cs="Arial"/>
                <w:sz w:val="16"/>
                <w:szCs w:val="16"/>
              </w:rPr>
              <w:t>■</w:t>
            </w:r>
            <w:r w:rsidRPr="0094643B">
              <w:rPr>
                <w:rFonts w:cs="Calibri"/>
                <w:sz w:val="16"/>
                <w:szCs w:val="16"/>
              </w:rPr>
              <w:t>*</w:t>
            </w:r>
            <w:r w:rsidRPr="0094643B">
              <w:rPr>
                <w:rFonts w:ascii="Arial" w:hAnsi="Arial" w:cs="Arial"/>
                <w:sz w:val="16"/>
                <w:szCs w:val="16"/>
              </w:rPr>
              <w:t>■</w:t>
            </w:r>
            <w:r w:rsidRPr="0094643B">
              <w:rPr>
                <w:rFonts w:cs="Calibri"/>
                <w:sz w:val="16"/>
                <w:szCs w:val="16"/>
              </w:rPr>
              <w:t xml:space="preserve"> 15%</w:t>
            </w:r>
          </w:p>
          <w:p w:rsidR="002F5D21" w:rsidRPr="0094643B" w:rsidRDefault="002F5D21" w:rsidP="0094643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</w:tbl>
    <w:p w:rsidR="002F5D21" w:rsidRDefault="002F5D21" w:rsidP="00D01D3D">
      <w:pPr>
        <w:autoSpaceDE w:val="0"/>
        <w:autoSpaceDN w:val="0"/>
        <w:adjustRightInd w:val="0"/>
        <w:spacing w:after="0" w:line="240" w:lineRule="auto"/>
        <w:ind w:left="924"/>
        <w:jc w:val="both"/>
        <w:rPr>
          <w:rFonts w:cs="Calibri"/>
          <w:sz w:val="20"/>
          <w:szCs w:val="20"/>
        </w:rPr>
      </w:pP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924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6.4.2.2. Wskaźnik zagęszczenia warstwy</w:t>
      </w:r>
    </w:p>
    <w:p w:rsidR="002F5D21" w:rsidRPr="00D54E7E" w:rsidRDefault="002F5D21" w:rsidP="00FE52E5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Zagęszczenie wykonanej warstwy, wyrażone wskaźnikiem zagęszczenia oraz zawartością wolnych</w:t>
      </w:r>
    </w:p>
    <w:p w:rsidR="002F5D21" w:rsidRPr="00D54E7E" w:rsidRDefault="002F5D21" w:rsidP="00FE52E5">
      <w:pPr>
        <w:autoSpaceDE w:val="0"/>
        <w:autoSpaceDN w:val="0"/>
        <w:adjustRightInd w:val="0"/>
        <w:spacing w:after="0" w:line="240" w:lineRule="auto"/>
        <w:ind w:left="1416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przestrzeni, nie może przekroczyć wartości dopuszczalnych podanych w tablicy 12. Dotyczy to każdego</w:t>
      </w:r>
    </w:p>
    <w:p w:rsidR="002F5D21" w:rsidRPr="00D54E7E" w:rsidRDefault="002F5D21" w:rsidP="00FE52E5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pojedynczego oznaczenia danej właściwości.</w:t>
      </w:r>
    </w:p>
    <w:p w:rsidR="002F5D21" w:rsidRPr="00D54E7E" w:rsidRDefault="002F5D21" w:rsidP="00FE52E5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Określenie gęstości objętościowej należy wykonywać według PN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EN 12697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6 [32].</w:t>
      </w:r>
    </w:p>
    <w:p w:rsidR="002F5D21" w:rsidRDefault="002F5D21" w:rsidP="00D01D3D">
      <w:pPr>
        <w:autoSpaceDE w:val="0"/>
        <w:autoSpaceDN w:val="0"/>
        <w:adjustRightInd w:val="0"/>
        <w:spacing w:after="0" w:line="240" w:lineRule="auto"/>
        <w:ind w:left="924"/>
        <w:jc w:val="both"/>
        <w:rPr>
          <w:rFonts w:cs="Calibri"/>
          <w:sz w:val="20"/>
          <w:szCs w:val="20"/>
        </w:rPr>
      </w:pP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924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6.4.2.3. Zawartość wolnych przestrzeni w nawierzchni</w:t>
      </w:r>
    </w:p>
    <w:p w:rsidR="002F5D21" w:rsidRDefault="002F5D21" w:rsidP="00FE52E5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Zawartość wolnych przestrzeni w warstwie, nie może wykroczyć poza wartości dopuszczalne podane w pkt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5.2.</w:t>
      </w:r>
    </w:p>
    <w:p w:rsidR="002F5D21" w:rsidRDefault="002F5D21" w:rsidP="00FE52E5">
      <w:pPr>
        <w:autoSpaceDE w:val="0"/>
        <w:autoSpaceDN w:val="0"/>
        <w:adjustRightInd w:val="0"/>
        <w:spacing w:after="0" w:line="240" w:lineRule="auto"/>
        <w:ind w:left="924"/>
        <w:jc w:val="both"/>
        <w:rPr>
          <w:rFonts w:cs="Calibri"/>
          <w:sz w:val="20"/>
          <w:szCs w:val="20"/>
        </w:rPr>
      </w:pPr>
    </w:p>
    <w:p w:rsidR="002F5D21" w:rsidRPr="00D54E7E" w:rsidRDefault="002F5D21" w:rsidP="00FE52E5">
      <w:pPr>
        <w:autoSpaceDE w:val="0"/>
        <w:autoSpaceDN w:val="0"/>
        <w:adjustRightInd w:val="0"/>
        <w:spacing w:after="0" w:line="240" w:lineRule="auto"/>
        <w:ind w:left="924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6.4.2.4. Spadki poprzeczne</w:t>
      </w:r>
    </w:p>
    <w:p w:rsidR="002F5D21" w:rsidRPr="00D54E7E" w:rsidRDefault="002F5D21" w:rsidP="00FE52E5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Spadki poprzeczne nawierzchni należy badać nie rzadziej niż co 20 m oraz w punktach głównych łuków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poziomych.</w:t>
      </w:r>
    </w:p>
    <w:p w:rsidR="002F5D21" w:rsidRPr="00D54E7E" w:rsidRDefault="002F5D21" w:rsidP="00FE52E5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Spadki poprzeczne powinny być zgodne z dokumentacją projektową, z tolerancją ± 0,5%.</w:t>
      </w:r>
    </w:p>
    <w:p w:rsidR="002F5D21" w:rsidRDefault="002F5D21" w:rsidP="00D01D3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FE52E5">
      <w:pPr>
        <w:autoSpaceDE w:val="0"/>
        <w:autoSpaceDN w:val="0"/>
        <w:adjustRightInd w:val="0"/>
        <w:spacing w:after="0" w:line="240" w:lineRule="auto"/>
        <w:ind w:left="924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6.4.2.5. Równość podłużna i poprzeczna</w:t>
      </w:r>
    </w:p>
    <w:p w:rsidR="002F5D21" w:rsidRPr="00D54E7E" w:rsidRDefault="002F5D21" w:rsidP="00FE52E5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Do oceny równości podłużnej warstwy wiążącej nawierzchni dróg wszystkich klas technicznych należy</w:t>
      </w:r>
      <w:r>
        <w:rPr>
          <w:rFonts w:cs="Calibri"/>
          <w:sz w:val="20"/>
          <w:szCs w:val="20"/>
        </w:rPr>
        <w:t xml:space="preserve"> stos</w:t>
      </w:r>
      <w:r w:rsidRPr="00D54E7E">
        <w:rPr>
          <w:rFonts w:cs="Calibri"/>
          <w:sz w:val="20"/>
          <w:szCs w:val="20"/>
        </w:rPr>
        <w:t>ować metodę z wykorzystaniem łaty 4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metrowej i klina lub metody równoważnej użyciu łaty i klina, mierząc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wysokość prześwitu w połowie długości łaty. Pomiar wykonuje się nie rzadziej niż co 10 m. Wymagana równość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podłużna jest określona w rozporządzeniu dotyczącym warunków technicznych, jakim powinny odpowiadać drogi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publiczne [67].</w:t>
      </w:r>
    </w:p>
    <w:p w:rsidR="002F5D21" w:rsidRDefault="002F5D21" w:rsidP="00FE52E5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Do oceny równości poprzecznej warstwy wiążącej nawierzchni dróg wszystkich klas technicznych należy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stosować metodę z wykorzystaniem łaty 4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metrowej i klina lub metody równoważnej użyciu łaty i klina. Pomiar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należy wykonywać w kierunku prostopadłym do osi jezdni, na każdym ocenianym pasie ruchu, nie rzadziej niż co 10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 xml:space="preserve">m. Wymagana równość poprzeczna jest określona </w:t>
      </w:r>
      <w:r>
        <w:rPr>
          <w:rFonts w:cs="Calibri"/>
          <w:sz w:val="20"/>
          <w:szCs w:val="20"/>
        </w:rPr>
        <w:br/>
      </w:r>
      <w:r w:rsidRPr="00D54E7E">
        <w:rPr>
          <w:rFonts w:cs="Calibri"/>
          <w:sz w:val="20"/>
          <w:szCs w:val="20"/>
        </w:rPr>
        <w:t>w rozporządzeniu dotyczącym warunków technicznych, jakim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powinny odpowiadać drogi publiczne [67].</w:t>
      </w:r>
    </w:p>
    <w:p w:rsidR="002F5D21" w:rsidRPr="00D54E7E" w:rsidRDefault="002F5D21" w:rsidP="00FE52E5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cs="Calibri"/>
          <w:sz w:val="20"/>
          <w:szCs w:val="20"/>
        </w:rPr>
      </w:pPr>
    </w:p>
    <w:p w:rsidR="002F5D21" w:rsidRPr="00D54E7E" w:rsidRDefault="002F5D21" w:rsidP="00FE52E5">
      <w:pPr>
        <w:autoSpaceDE w:val="0"/>
        <w:autoSpaceDN w:val="0"/>
        <w:adjustRightInd w:val="0"/>
        <w:spacing w:after="0" w:line="240" w:lineRule="auto"/>
        <w:ind w:left="924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6.4.2.6. Pozostałe właściwości warstwy asfaltowej</w:t>
      </w:r>
    </w:p>
    <w:p w:rsidR="002F5D21" w:rsidRPr="00D54E7E" w:rsidRDefault="002F5D21" w:rsidP="007E0692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Szerokość warstwy, mierzona 10 razy na 1 km każdej jezdni, nie może się różnić od szerokości</w:t>
      </w:r>
    </w:p>
    <w:p w:rsidR="002F5D21" w:rsidRPr="00D54E7E" w:rsidRDefault="002F5D21" w:rsidP="007E0692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projektowanej o więcej niż ± 5 cm.</w:t>
      </w:r>
    </w:p>
    <w:p w:rsidR="002F5D21" w:rsidRPr="00D54E7E" w:rsidRDefault="002F5D21" w:rsidP="007E0692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Rzędne wysokościowe, mierzone co 10 m na prostych i co 10 m na osi podłużnej i krawędziach, powinny być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zgodne z dokumentacją projektową z dopuszczalną tolerancją ± 1 cm, przy czym co najmniej 95% wykonanych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pomiarów nie może przekraczać przedziału dopuszczalnych odchyleń.</w:t>
      </w:r>
    </w:p>
    <w:p w:rsidR="002F5D21" w:rsidRPr="00D54E7E" w:rsidRDefault="002F5D21" w:rsidP="007E0692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Ukształtowanie osi w planie, mierzone co 100 m, nie powinno różnić się od dokumentacji projektowej o ± 5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cm.</w:t>
      </w:r>
    </w:p>
    <w:p w:rsidR="002F5D21" w:rsidRPr="00D54E7E" w:rsidRDefault="002F5D21" w:rsidP="007E0692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Złącza poprzeczne, sprawdzone wizualnie, powinny być równe i związane, wykonane w linii prostej,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równolegle lub prostopadle do osi drogi. Przylegające warstwy powinny być w jednym poziomie.</w:t>
      </w:r>
    </w:p>
    <w:p w:rsidR="002F5D21" w:rsidRPr="00D54E7E" w:rsidRDefault="002F5D21" w:rsidP="007E0692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Wygląd zewnętrzny warstwy, sprawdzony wizualnie, powinien być jednorodny, bez spękań, deformacji,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plam i wykruszeń.</w:t>
      </w:r>
    </w:p>
    <w:p w:rsidR="002F5D21" w:rsidRPr="00ED1287" w:rsidRDefault="002F5D21" w:rsidP="00DC0742">
      <w:pPr>
        <w:rPr>
          <w:rFonts w:cs="Calibri"/>
          <w:b/>
          <w:sz w:val="20"/>
          <w:szCs w:val="20"/>
        </w:rPr>
      </w:pPr>
      <w:r>
        <w:rPr>
          <w:rFonts w:cs="Calibri"/>
          <w:sz w:val="20"/>
          <w:szCs w:val="20"/>
        </w:rPr>
        <w:br w:type="page"/>
      </w:r>
      <w:r w:rsidRPr="00ED1287">
        <w:rPr>
          <w:rFonts w:cs="Calibri"/>
          <w:b/>
          <w:sz w:val="20"/>
          <w:szCs w:val="20"/>
        </w:rPr>
        <w:t>7. OBMIAR ROBÓT</w:t>
      </w:r>
    </w:p>
    <w:p w:rsidR="002F5D21" w:rsidRPr="00D54E7E" w:rsidRDefault="002F5D21" w:rsidP="00ED128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7.1. Ogólne zasady obmiaru robót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Ogólne zasady obmiaru robót podano w SST D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M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00.00.00 „Wymagania ogólne".</w:t>
      </w:r>
    </w:p>
    <w:p w:rsidR="002F5D21" w:rsidRDefault="002F5D21" w:rsidP="00D01D3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ED128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7.2. Jednostka obmiarowa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Jednostką obmiarowa jest m2 (metr kwadratowy) wykonanej warstwy z betonu asfaltowego (AC).</w:t>
      </w:r>
    </w:p>
    <w:p w:rsidR="002F5D21" w:rsidRDefault="002F5D21" w:rsidP="00D01D3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ED1287" w:rsidRDefault="002F5D21" w:rsidP="00ED128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ED1287">
        <w:rPr>
          <w:rFonts w:cs="Calibri"/>
          <w:b/>
          <w:sz w:val="20"/>
          <w:szCs w:val="20"/>
        </w:rPr>
        <w:t>8. ODBIÓR ROBÓT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Ogólne zasady odbioru robót podano w SST D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M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00.00.00 „Wymagania ogólne".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Roboty uznaje się za wykonane zgodnie z dokumentacją projektową ST i wymaganiami Inspektora Nadzoru,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jeżeli wszystkie pomiary i badania z zachowaniem tolerancji według pktu 6 dały wyniki pozytywne.</w:t>
      </w:r>
    </w:p>
    <w:p w:rsidR="002F5D21" w:rsidRDefault="002F5D21" w:rsidP="00D01D3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ED1287" w:rsidRDefault="002F5D21" w:rsidP="00ED128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ED1287">
        <w:rPr>
          <w:rFonts w:cs="Calibri"/>
          <w:b/>
          <w:sz w:val="20"/>
          <w:szCs w:val="20"/>
        </w:rPr>
        <w:t>9. PODSTAWA PŁATNOŚCI</w:t>
      </w:r>
    </w:p>
    <w:p w:rsidR="002F5D21" w:rsidRPr="00ED1287" w:rsidRDefault="002F5D21" w:rsidP="00ED128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ED1287">
        <w:rPr>
          <w:rFonts w:cs="Calibri"/>
          <w:b/>
          <w:sz w:val="20"/>
          <w:szCs w:val="20"/>
        </w:rPr>
        <w:t>9.1. Ogólne ustalenia dotyczące podstawy płatności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Ogólne ustalenia dotyczące podstawy płatności podano w SST D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M</w:t>
      </w:r>
      <w:r>
        <w:rPr>
          <w:rFonts w:cs="Calibri"/>
          <w:sz w:val="20"/>
          <w:szCs w:val="20"/>
        </w:rPr>
        <w:t>—</w:t>
      </w:r>
      <w:r w:rsidRPr="00D54E7E">
        <w:rPr>
          <w:rFonts w:cs="Calibri"/>
          <w:sz w:val="20"/>
          <w:szCs w:val="20"/>
        </w:rPr>
        <w:t>00.00.00 „Wymagania ogólne"</w:t>
      </w:r>
    </w:p>
    <w:p w:rsidR="002F5D21" w:rsidRDefault="002F5D21" w:rsidP="00D01D3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ED1287" w:rsidRDefault="002F5D21" w:rsidP="00ED1287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ED1287">
        <w:rPr>
          <w:rFonts w:cs="Calibri"/>
          <w:b/>
          <w:sz w:val="20"/>
          <w:szCs w:val="20"/>
        </w:rPr>
        <w:t>9.2. Cena jednostki obmiarowej</w:t>
      </w:r>
    </w:p>
    <w:p w:rsidR="002F5D21" w:rsidRDefault="002F5D21" w:rsidP="00ED128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Cena wykonania 1 m2 warstwy z betonu asfaltowego (AC) obejmuje:</w:t>
      </w:r>
      <w:r>
        <w:rPr>
          <w:rFonts w:cs="Calibri"/>
          <w:sz w:val="20"/>
          <w:szCs w:val="20"/>
        </w:rPr>
        <w:t xml:space="preserve"> </w:t>
      </w:r>
    </w:p>
    <w:p w:rsidR="002F5D21" w:rsidRDefault="002F5D21" w:rsidP="00ED128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sz w:val="20"/>
          <w:szCs w:val="20"/>
        </w:rPr>
      </w:pPr>
      <w:r w:rsidRPr="00ED1287">
        <w:rPr>
          <w:rFonts w:cs="Calibri"/>
          <w:sz w:val="20"/>
          <w:szCs w:val="20"/>
        </w:rPr>
        <w:t xml:space="preserve">prace pomiarowe i roboty przygotowawcze, oznakowanie robót, </w:t>
      </w:r>
    </w:p>
    <w:p w:rsidR="002F5D21" w:rsidRPr="00ED1287" w:rsidRDefault="002F5D21" w:rsidP="00ED128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sz w:val="20"/>
          <w:szCs w:val="20"/>
        </w:rPr>
      </w:pPr>
      <w:r w:rsidRPr="00ED1287">
        <w:rPr>
          <w:rFonts w:cs="Calibri"/>
          <w:sz w:val="20"/>
          <w:szCs w:val="20"/>
        </w:rPr>
        <w:t>oczyszczenie i skropienie podłoża, dostarczenie materiałów i sprzętu,</w:t>
      </w:r>
    </w:p>
    <w:p w:rsidR="002F5D21" w:rsidRPr="00ED1287" w:rsidRDefault="002F5D21" w:rsidP="00ED128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sz w:val="20"/>
          <w:szCs w:val="20"/>
        </w:rPr>
      </w:pPr>
      <w:r w:rsidRPr="00ED1287">
        <w:rPr>
          <w:rFonts w:cs="Calibri"/>
          <w:sz w:val="20"/>
          <w:szCs w:val="20"/>
        </w:rPr>
        <w:t xml:space="preserve">opracowanie recepty laboratoryjnej, </w:t>
      </w:r>
    </w:p>
    <w:p w:rsidR="002F5D21" w:rsidRPr="00ED1287" w:rsidRDefault="002F5D21" w:rsidP="00ED128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sz w:val="20"/>
          <w:szCs w:val="20"/>
        </w:rPr>
      </w:pPr>
      <w:r w:rsidRPr="00ED1287">
        <w:rPr>
          <w:rFonts w:cs="Calibri"/>
          <w:sz w:val="20"/>
          <w:szCs w:val="20"/>
        </w:rPr>
        <w:t>wykonanie próby technologicznej i wyprodukowanie mieszanki betonu asfaltowego i jej transport na miejsce wbudowania,</w:t>
      </w:r>
    </w:p>
    <w:p w:rsidR="002F5D21" w:rsidRDefault="002F5D21" w:rsidP="008566B2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</w:t>
      </w:r>
      <w:r w:rsidRPr="00ED1287">
        <w:rPr>
          <w:rFonts w:cs="Calibri"/>
          <w:sz w:val="20"/>
          <w:szCs w:val="20"/>
        </w:rPr>
        <w:t>osmarowanie lepiszczem lub pokrycie taśmą asfaltową krawędzi urządzeń obcych i krawężników,</w:t>
      </w:r>
    </w:p>
    <w:p w:rsidR="002F5D21" w:rsidRDefault="002F5D21" w:rsidP="00ED128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sz w:val="20"/>
          <w:szCs w:val="20"/>
        </w:rPr>
      </w:pPr>
      <w:r w:rsidRPr="008566B2">
        <w:rPr>
          <w:rFonts w:cs="Calibri"/>
          <w:sz w:val="20"/>
          <w:szCs w:val="20"/>
        </w:rPr>
        <w:t>skropienie istniejącej nawierzchni emulsja asfaltową w ilości 0,3</w:t>
      </w:r>
      <w:r>
        <w:rPr>
          <w:rFonts w:cs="Calibri"/>
          <w:sz w:val="20"/>
          <w:szCs w:val="20"/>
        </w:rPr>
        <w:t>—</w:t>
      </w:r>
      <w:r w:rsidRPr="008566B2">
        <w:rPr>
          <w:rFonts w:cs="Calibri"/>
          <w:sz w:val="20"/>
          <w:szCs w:val="20"/>
        </w:rPr>
        <w:t>0,5 kg/m</w:t>
      </w:r>
      <w:r w:rsidRPr="008566B2">
        <w:rPr>
          <w:rFonts w:cs="Calibri"/>
          <w:sz w:val="20"/>
          <w:szCs w:val="20"/>
          <w:vertAlign w:val="superscript"/>
        </w:rPr>
        <w:t xml:space="preserve">2 </w:t>
      </w:r>
      <w:r w:rsidRPr="008566B2">
        <w:rPr>
          <w:rFonts w:cs="Calibri"/>
          <w:sz w:val="20"/>
          <w:szCs w:val="20"/>
        </w:rPr>
        <w:t>rozłożenie i zagęszczenie mieszanki betonu asfaltowego,</w:t>
      </w:r>
    </w:p>
    <w:p w:rsidR="002F5D21" w:rsidRDefault="002F5D21" w:rsidP="00ED128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sz w:val="20"/>
          <w:szCs w:val="20"/>
        </w:rPr>
      </w:pPr>
      <w:r w:rsidRPr="008566B2">
        <w:rPr>
          <w:rFonts w:cs="Calibri"/>
          <w:sz w:val="20"/>
          <w:szCs w:val="20"/>
        </w:rPr>
        <w:t xml:space="preserve">obcięcie krawędzi i posmarowanie lepiszczem </w:t>
      </w:r>
      <w:r>
        <w:rPr>
          <w:rFonts w:cs="Calibri"/>
          <w:sz w:val="20"/>
          <w:szCs w:val="20"/>
        </w:rPr>
        <w:t>—</w:t>
      </w:r>
      <w:r w:rsidRPr="008566B2">
        <w:rPr>
          <w:rFonts w:cs="Calibri"/>
          <w:sz w:val="20"/>
          <w:szCs w:val="20"/>
        </w:rPr>
        <w:t xml:space="preserve"> asfaltem ( zabrania skropienia emulsja asfaltową),</w:t>
      </w:r>
    </w:p>
    <w:p w:rsidR="002F5D21" w:rsidRDefault="002F5D21" w:rsidP="00ED128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sz w:val="20"/>
          <w:szCs w:val="20"/>
        </w:rPr>
      </w:pPr>
      <w:r w:rsidRPr="008566B2">
        <w:rPr>
          <w:rFonts w:cs="Calibri"/>
          <w:sz w:val="20"/>
          <w:szCs w:val="20"/>
        </w:rPr>
        <w:t>przeprowadzenie pomiarów i badań wymaganych w specyfikacji technicznej,</w:t>
      </w:r>
    </w:p>
    <w:p w:rsidR="002F5D21" w:rsidRDefault="002F5D21" w:rsidP="00ED128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sz w:val="20"/>
          <w:szCs w:val="20"/>
        </w:rPr>
      </w:pPr>
      <w:r w:rsidRPr="008566B2">
        <w:rPr>
          <w:rFonts w:cs="Calibri"/>
          <w:sz w:val="20"/>
          <w:szCs w:val="20"/>
        </w:rPr>
        <w:t>odwiezienie sprzętu.</w:t>
      </w:r>
    </w:p>
    <w:p w:rsidR="002F5D21" w:rsidRPr="008566B2" w:rsidRDefault="002F5D21" w:rsidP="008566B2">
      <w:pPr>
        <w:pStyle w:val="ListParagraph"/>
        <w:autoSpaceDE w:val="0"/>
        <w:autoSpaceDN w:val="0"/>
        <w:adjustRightInd w:val="0"/>
        <w:spacing w:after="0" w:line="240" w:lineRule="auto"/>
        <w:ind w:left="851"/>
        <w:jc w:val="both"/>
        <w:rPr>
          <w:rFonts w:cs="Calibri"/>
          <w:sz w:val="20"/>
          <w:szCs w:val="20"/>
        </w:rPr>
      </w:pPr>
    </w:p>
    <w:p w:rsidR="002F5D21" w:rsidRPr="00D54E7E" w:rsidRDefault="002F5D21" w:rsidP="008566B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9.3. Sposób rozliczenia robót tymczasowych i prac towarzyszących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Cena wykonania robót określonych niniejszą SST obejmuje: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roboty tymczasowe, które są potrzebne do wykonania robót podstawowych, ale nie są przekazywane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Zamawiającemu i są usuwane po wykonaniu robót podstawowych,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prace towarzyszące, które są niezbędne do wykonania robót podstawowych, niezaliczane do robót tymczasowych,</w:t>
      </w:r>
      <w:r>
        <w:rPr>
          <w:rFonts w:cs="Calibri"/>
          <w:sz w:val="20"/>
          <w:szCs w:val="20"/>
        </w:rPr>
        <w:t xml:space="preserve"> </w:t>
      </w:r>
      <w:r w:rsidRPr="00D54E7E">
        <w:rPr>
          <w:rFonts w:cs="Calibri"/>
          <w:sz w:val="20"/>
          <w:szCs w:val="20"/>
        </w:rPr>
        <w:t>jak geodezyjne wytyczenie robót itd.</w:t>
      </w:r>
    </w:p>
    <w:p w:rsidR="002F5D21" w:rsidRDefault="002F5D21" w:rsidP="00D01D3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8566B2" w:rsidRDefault="002F5D21" w:rsidP="008566B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8566B2">
        <w:rPr>
          <w:rFonts w:cs="Calibri"/>
          <w:b/>
          <w:sz w:val="20"/>
          <w:szCs w:val="20"/>
        </w:rPr>
        <w:t>10. PRZEPISY ZWIĄZANE</w:t>
      </w:r>
    </w:p>
    <w:p w:rsidR="002F5D21" w:rsidRPr="008566B2" w:rsidRDefault="002F5D21" w:rsidP="008566B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8566B2">
        <w:rPr>
          <w:rFonts w:cs="Calibri"/>
          <w:sz w:val="20"/>
          <w:szCs w:val="20"/>
        </w:rPr>
        <w:t>10.1. Ogólne specyfikacje techniczne (SST)</w:t>
      </w:r>
    </w:p>
    <w:p w:rsidR="002F5D21" w:rsidRPr="008566B2" w:rsidRDefault="002F5D21" w:rsidP="008566B2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8566B2">
        <w:rPr>
          <w:rFonts w:cs="Calibri"/>
          <w:sz w:val="20"/>
          <w:szCs w:val="20"/>
        </w:rPr>
        <w:t>D</w:t>
      </w:r>
      <w:r>
        <w:rPr>
          <w:rFonts w:cs="Calibri"/>
          <w:sz w:val="20"/>
          <w:szCs w:val="20"/>
        </w:rPr>
        <w:t>—</w:t>
      </w:r>
      <w:r w:rsidRPr="008566B2">
        <w:rPr>
          <w:rFonts w:cs="Calibri"/>
          <w:sz w:val="20"/>
          <w:szCs w:val="20"/>
        </w:rPr>
        <w:t>M</w:t>
      </w:r>
      <w:r>
        <w:rPr>
          <w:rFonts w:cs="Calibri"/>
          <w:sz w:val="20"/>
          <w:szCs w:val="20"/>
        </w:rPr>
        <w:t>—</w:t>
      </w:r>
      <w:r w:rsidRPr="008566B2">
        <w:rPr>
          <w:rFonts w:cs="Calibri"/>
          <w:sz w:val="20"/>
          <w:szCs w:val="20"/>
        </w:rPr>
        <w:t>00.00.00 Wymagania ogólne</w:t>
      </w:r>
    </w:p>
    <w:p w:rsidR="002F5D21" w:rsidRDefault="002F5D21" w:rsidP="00D01D3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p w:rsidR="002F5D21" w:rsidRPr="00D54E7E" w:rsidRDefault="002F5D21" w:rsidP="008566B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4E7E">
        <w:rPr>
          <w:rFonts w:cs="Calibri"/>
          <w:sz w:val="20"/>
          <w:szCs w:val="20"/>
        </w:rPr>
        <w:t>10.2. Normy</w:t>
      </w:r>
    </w:p>
    <w:p w:rsidR="002F5D21" w:rsidRPr="008566B2" w:rsidRDefault="002F5D21" w:rsidP="00D01D3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18"/>
          <w:szCs w:val="20"/>
        </w:rPr>
      </w:pPr>
      <w:r w:rsidRPr="008566B2">
        <w:rPr>
          <w:rFonts w:cs="Calibri"/>
          <w:sz w:val="18"/>
          <w:szCs w:val="20"/>
        </w:rPr>
        <w:t>(Zestawienie zawiera dodatkowo normy PN</w:t>
      </w:r>
      <w:r>
        <w:rPr>
          <w:rFonts w:cs="Calibri"/>
          <w:sz w:val="18"/>
          <w:szCs w:val="20"/>
        </w:rPr>
        <w:t>—</w:t>
      </w:r>
      <w:r w:rsidRPr="008566B2">
        <w:rPr>
          <w:rFonts w:cs="Calibri"/>
          <w:sz w:val="18"/>
          <w:szCs w:val="20"/>
        </w:rPr>
        <w:t>EN związane z badaniami materiałów występujących w niniejszej SST)</w:t>
      </w:r>
    </w:p>
    <w:p w:rsidR="002F5D21" w:rsidRPr="005849C8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849C8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>EN 196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 xml:space="preserve">21 Metody badania cementu — Oznaczanie zawartości chlorków, dwutlenku węgla </w:t>
      </w:r>
      <w:r>
        <w:rPr>
          <w:rFonts w:cs="Calibri"/>
          <w:sz w:val="20"/>
          <w:szCs w:val="20"/>
        </w:rPr>
        <w:br/>
      </w:r>
      <w:r w:rsidRPr="005849C8">
        <w:rPr>
          <w:rFonts w:cs="Calibri"/>
          <w:sz w:val="20"/>
          <w:szCs w:val="20"/>
        </w:rPr>
        <w:t>i alkaliów w cemencie;</w:t>
      </w:r>
    </w:p>
    <w:p w:rsidR="002F5D21" w:rsidRPr="005849C8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849C8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>EN 459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>2 Wapno budowlane — Część 2: Metody badań;</w:t>
      </w:r>
    </w:p>
    <w:p w:rsidR="002F5D21" w:rsidRPr="005849C8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849C8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>EN 932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>3 Badania podstawowych właściwości kruszyw — Procedura i terminologia uproszczonego opisu petrograficznego;</w:t>
      </w:r>
    </w:p>
    <w:p w:rsidR="002F5D21" w:rsidRPr="005849C8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849C8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>EN 933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>1 Badania geometrycznych właściwości kruszyw — Oznaczanie składu ziarnowego — Metoda przesiewania;</w:t>
      </w:r>
    </w:p>
    <w:p w:rsidR="002F5D21" w:rsidRPr="005849C8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849C8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>EN 933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>3 Badania geometrycznych właściwości kruszyw — Oznaczanie kształtu ziaren za pomocą wskaźnika płaskości;</w:t>
      </w:r>
    </w:p>
    <w:p w:rsidR="002F5D21" w:rsidRPr="005849C8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849C8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>EN 933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>4 Badania geometrycznych właściwości kruszyw — Część 4: Oznaczanie kształtu ziaren —Wskaźnik kształtu;</w:t>
      </w:r>
    </w:p>
    <w:p w:rsidR="002F5D21" w:rsidRPr="005849C8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849C8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>EN 933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 xml:space="preserve">5 Badania geometrycznych właściwości kruszyw 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 xml:space="preserve"> Oznaczanie procentowej zawartości ziaren </w:t>
      </w:r>
      <w:r>
        <w:rPr>
          <w:rFonts w:cs="Calibri"/>
          <w:sz w:val="20"/>
          <w:szCs w:val="20"/>
        </w:rPr>
        <w:br/>
      </w:r>
      <w:r w:rsidRPr="005849C8">
        <w:rPr>
          <w:rFonts w:cs="Calibri"/>
          <w:sz w:val="20"/>
          <w:szCs w:val="20"/>
        </w:rPr>
        <w:t>o powierzchniach powstałych w wyniku przekruszenia lub łamania kruszyw grubych;</w:t>
      </w:r>
    </w:p>
    <w:p w:rsidR="002F5D21" w:rsidRPr="005849C8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849C8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>EN 933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>6 Badania geometrycznych właściwości kruszyw — Część 6: Ocena właściwości; powierzchni — Wskaźnik przepływu kruszywa;</w:t>
      </w:r>
    </w:p>
    <w:p w:rsidR="002F5D21" w:rsidRPr="005849C8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849C8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>EN 933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 xml:space="preserve">9 Badania geometrycznych właściwości kruszyw 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 xml:space="preserve"> Ocena zawartości drobnych cząstek 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 xml:space="preserve">  Badania błękitem metylenowym;</w:t>
      </w:r>
    </w:p>
    <w:p w:rsidR="002F5D21" w:rsidRPr="005849C8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5849C8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>EN 933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 xml:space="preserve">10 Badania geometrycznych właściwości kruszyw </w:t>
      </w:r>
      <w:r>
        <w:rPr>
          <w:rFonts w:cs="Calibri"/>
          <w:sz w:val="20"/>
          <w:szCs w:val="20"/>
        </w:rPr>
        <w:t>—</w:t>
      </w:r>
      <w:r w:rsidRPr="005849C8">
        <w:rPr>
          <w:rFonts w:cs="Calibri"/>
          <w:sz w:val="20"/>
          <w:szCs w:val="20"/>
        </w:rPr>
        <w:t xml:space="preserve"> Część 10: Ocena zawartości drobnych</w:t>
      </w:r>
      <w:r>
        <w:rPr>
          <w:rFonts w:cs="Calibri"/>
          <w:sz w:val="20"/>
          <w:szCs w:val="20"/>
        </w:rPr>
        <w:t xml:space="preserve"> </w:t>
      </w:r>
      <w:r w:rsidRPr="005849C8">
        <w:rPr>
          <w:rFonts w:cs="Calibri"/>
          <w:sz w:val="20"/>
          <w:szCs w:val="20"/>
        </w:rPr>
        <w:t>cząstek — Uziarnienie wypełniaczy (przesiewanie w strumieniu powietrza)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B77EFA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B77EFA">
        <w:rPr>
          <w:rFonts w:cs="Calibri"/>
          <w:sz w:val="20"/>
          <w:szCs w:val="20"/>
        </w:rPr>
        <w:t>EN 1097</w:t>
      </w:r>
      <w:r>
        <w:rPr>
          <w:rFonts w:cs="Calibri"/>
          <w:sz w:val="20"/>
          <w:szCs w:val="20"/>
        </w:rPr>
        <w:t>—</w:t>
      </w:r>
      <w:r w:rsidRPr="00B77EFA">
        <w:rPr>
          <w:rFonts w:cs="Calibri"/>
          <w:sz w:val="20"/>
          <w:szCs w:val="20"/>
        </w:rPr>
        <w:t xml:space="preserve">2 Badania mechanicznych i fizycznych właściwości kruszyw </w:t>
      </w:r>
      <w:r>
        <w:rPr>
          <w:rFonts w:cs="Calibri"/>
          <w:sz w:val="20"/>
          <w:szCs w:val="20"/>
        </w:rPr>
        <w:t>—</w:t>
      </w:r>
      <w:r w:rsidRPr="00B77EFA">
        <w:rPr>
          <w:rFonts w:cs="Calibri"/>
          <w:sz w:val="20"/>
          <w:szCs w:val="20"/>
        </w:rPr>
        <w:t xml:space="preserve"> Metody oznaczania odporności na rozdrabnianie</w:t>
      </w:r>
      <w:r>
        <w:rPr>
          <w:rFonts w:cs="Calibri"/>
          <w:sz w:val="20"/>
          <w:szCs w:val="20"/>
        </w:rPr>
        <w:t>;</w:t>
      </w:r>
    </w:p>
    <w:p w:rsidR="002F5D21" w:rsidRPr="00B77EFA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B77EFA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B77EFA">
        <w:rPr>
          <w:rFonts w:cs="Calibri"/>
          <w:sz w:val="20"/>
          <w:szCs w:val="20"/>
        </w:rPr>
        <w:t>EN 1097</w:t>
      </w:r>
      <w:r>
        <w:rPr>
          <w:rFonts w:cs="Calibri"/>
          <w:sz w:val="20"/>
          <w:szCs w:val="20"/>
        </w:rPr>
        <w:t>—</w:t>
      </w:r>
      <w:r w:rsidRPr="00B77EFA">
        <w:rPr>
          <w:rFonts w:cs="Calibri"/>
          <w:sz w:val="20"/>
          <w:szCs w:val="20"/>
        </w:rPr>
        <w:t xml:space="preserve">3 Badania mechanicznych i fizycznych właściwości kruszyw </w:t>
      </w:r>
      <w:r>
        <w:rPr>
          <w:rFonts w:cs="Calibri"/>
          <w:sz w:val="20"/>
          <w:szCs w:val="20"/>
        </w:rPr>
        <w:t>—</w:t>
      </w:r>
      <w:r w:rsidRPr="00B77EFA">
        <w:rPr>
          <w:rFonts w:cs="Calibri"/>
          <w:sz w:val="20"/>
          <w:szCs w:val="20"/>
        </w:rPr>
        <w:t xml:space="preserve"> Oznaczanie gęstości nasypowej </w:t>
      </w:r>
      <w:r>
        <w:rPr>
          <w:rFonts w:cs="Calibri"/>
          <w:sz w:val="20"/>
          <w:szCs w:val="20"/>
        </w:rPr>
        <w:br/>
      </w:r>
      <w:r w:rsidRPr="00B77EFA">
        <w:rPr>
          <w:rFonts w:cs="Calibri"/>
          <w:sz w:val="20"/>
          <w:szCs w:val="20"/>
        </w:rPr>
        <w:t>i jamistości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1A2781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 xml:space="preserve">EN 1097 Badania mechanicznych i fizycznych właściwości kruszyw 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 xml:space="preserve"> Część 4: Oznaczanie pustych przestrzeni suchego, zagęszczonego wypełniacza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1A2781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>EN 1097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>5 Badania mechanicznych i fizycznych właściwości kruszyw — Część 5: Oznaczanie zawartości wody przez suszenie w suszarce z wentylacją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1A2781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>EN 1097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 xml:space="preserve">6 Badania mechanicznych i fizycznych właściwości kruszyw 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>Część 6: Oznaczanie</w:t>
      </w:r>
      <w:r>
        <w:rPr>
          <w:rFonts w:cs="Calibri"/>
          <w:sz w:val="20"/>
          <w:szCs w:val="20"/>
        </w:rPr>
        <w:t xml:space="preserve"> </w:t>
      </w:r>
      <w:r w:rsidRPr="001A2781">
        <w:rPr>
          <w:rFonts w:cs="Calibri"/>
          <w:sz w:val="20"/>
          <w:szCs w:val="20"/>
        </w:rPr>
        <w:t>gęstości ziaren i nasiąkliwości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1A2781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>EN 1097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 xml:space="preserve">7 Badania mechanicznych i fizycznych właściwości kruszyw 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 xml:space="preserve"> Część 7: Oznaczanie gęstości wypełniacza 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 xml:space="preserve"> Metoda piknometryczna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1A2781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>EN 1097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>8 Badania mechanicznych i fizycznych właściwości kruszyw — Część 8: Oznaczanie polerowalności kamienia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1A2781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>EN 1367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>1 Badania właściwości cieplnych i odporności kruszyw na działanie czynników atmosferycznych — Częś</w:t>
      </w:r>
      <w:r>
        <w:rPr>
          <w:rFonts w:cs="Calibri"/>
          <w:sz w:val="20"/>
          <w:szCs w:val="20"/>
        </w:rPr>
        <w:t>ć 1: Oznaczanie mrozoodporność;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1A2781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>EN 1367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 xml:space="preserve">3 Badania właściwości cieplnych i odporności kruszyw na działanie czynników atmosferycznych 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 xml:space="preserve"> Część 3: Badanie bazaltowej zgorzeli słonecznej metodą gotowania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1A2781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 xml:space="preserve">EN 1426 Asfalty i produkty asfaltowe 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 xml:space="preserve"> Oznaczanie penetracji igłą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1A2781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 xml:space="preserve">EN 1427 Asfalty i produkty asfaltowe 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 xml:space="preserve"> Oznaczanie temperatury mięknienia </w:t>
      </w:r>
      <w:r>
        <w:rPr>
          <w:rFonts w:cs="Calibri"/>
          <w:sz w:val="20"/>
          <w:szCs w:val="20"/>
        </w:rPr>
        <w:t>—</w:t>
      </w:r>
      <w:r w:rsidRPr="001A2781">
        <w:rPr>
          <w:rFonts w:cs="Calibri"/>
          <w:sz w:val="20"/>
          <w:szCs w:val="20"/>
        </w:rPr>
        <w:t xml:space="preserve"> Metoda Pierścień </w:t>
      </w:r>
      <w:r>
        <w:rPr>
          <w:rFonts w:cs="Calibri"/>
          <w:sz w:val="20"/>
          <w:szCs w:val="20"/>
        </w:rPr>
        <w:br/>
      </w:r>
      <w:r w:rsidRPr="001A2781">
        <w:rPr>
          <w:rFonts w:cs="Calibri"/>
          <w:sz w:val="20"/>
          <w:szCs w:val="20"/>
        </w:rPr>
        <w:t>i Kula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623B00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 xml:space="preserve">EN 1428 Asfalty i lepiszcza asfaltowe 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 xml:space="preserve"> Oznaczanie zawartości wody w emulsjach asfaltowych 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 xml:space="preserve"> Metoda destylacji azeotropowej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623B00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 xml:space="preserve">EN 1429 Asfalty i lepiszcza asfaltowe 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 xml:space="preserve"> Oznaczanie pozostałości na sicie emulsji asfaltowych oraz trwałości podczas magazynowania metodą pozostałości na sicie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623B00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>EN 1744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>1 Badania chemicznych właściwości kruszyw — Analiza chemiczna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623B00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>EN 1744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 xml:space="preserve">4 Badania chemicznych właściwości kruszyw 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 xml:space="preserve"> Część 4: Oznaczanie podatności wypełniaczy do mieszanek mineralno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>asfaltowych na działanie wody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623B00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 xml:space="preserve">EN 12591 Asfalty i produkty asfaltowe 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>Wymagania dla asfaltów drogowych;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623B00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 xml:space="preserve">EN 12592 Asfalty i produkty asfaltowe 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 xml:space="preserve"> Oznaczanie rozpuszczalności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623B00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 xml:space="preserve">EN 12593 Asfalty i produkty asfaltowe 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 xml:space="preserve"> Oznaczanie temperatury łamliwości Fraaosa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623B00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>EN 12606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 xml:space="preserve">1 Asfalty i produkty asfaltowe 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 xml:space="preserve"> Oznaczanie zawartości parafiny 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 xml:space="preserve"> Część 1: Metoda Destylacyjna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623B00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>EN 12607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 xml:space="preserve">1 Asfalty i produkty asfaltowe </w:t>
      </w:r>
      <w:r>
        <w:rPr>
          <w:rFonts w:cs="Calibri"/>
          <w:sz w:val="20"/>
          <w:szCs w:val="20"/>
        </w:rPr>
        <w:t>—</w:t>
      </w:r>
      <w:r w:rsidRPr="00623B00">
        <w:rPr>
          <w:rFonts w:cs="Calibri"/>
          <w:sz w:val="20"/>
          <w:szCs w:val="20"/>
        </w:rPr>
        <w:t xml:space="preserve"> Oznaczanie odporności na twardnienie pod wpływem ciepła i powietrza — Część 1: Metoda RTFOT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autoSpaceDE w:val="0"/>
        <w:autoSpaceDN w:val="0"/>
        <w:adjustRightInd w:val="0"/>
        <w:spacing w:after="0" w:line="240" w:lineRule="auto"/>
        <w:ind w:left="786"/>
        <w:jc w:val="both"/>
        <w:rPr>
          <w:rFonts w:cs="Calibri"/>
          <w:sz w:val="20"/>
          <w:szCs w:val="20"/>
        </w:rPr>
      </w:pPr>
      <w:r w:rsidRPr="001D0D9F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1D0D9F">
        <w:rPr>
          <w:rFonts w:cs="Calibri"/>
          <w:sz w:val="20"/>
          <w:szCs w:val="20"/>
        </w:rPr>
        <w:t>EN 12607</w:t>
      </w:r>
      <w:r>
        <w:rPr>
          <w:rFonts w:cs="Calibri"/>
          <w:sz w:val="20"/>
          <w:szCs w:val="20"/>
        </w:rPr>
        <w:t>—</w:t>
      </w:r>
      <w:r w:rsidRPr="001D0D9F">
        <w:rPr>
          <w:rFonts w:cs="Calibri"/>
          <w:sz w:val="20"/>
          <w:szCs w:val="20"/>
        </w:rPr>
        <w:t>3 Jw. Część 3: Metoda RFT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7D6189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7D6189">
        <w:rPr>
          <w:rFonts w:cs="Calibri"/>
          <w:sz w:val="20"/>
          <w:szCs w:val="20"/>
        </w:rPr>
        <w:t>EN 12697</w:t>
      </w:r>
      <w:r>
        <w:rPr>
          <w:rFonts w:cs="Calibri"/>
          <w:sz w:val="20"/>
          <w:szCs w:val="20"/>
        </w:rPr>
        <w:t>—</w:t>
      </w:r>
      <w:r w:rsidRPr="007D6189">
        <w:rPr>
          <w:rFonts w:cs="Calibri"/>
          <w:sz w:val="20"/>
          <w:szCs w:val="20"/>
        </w:rPr>
        <w:t>6 Mieszanki mineralno</w:t>
      </w:r>
      <w:r>
        <w:rPr>
          <w:rFonts w:cs="Calibri"/>
          <w:sz w:val="20"/>
          <w:szCs w:val="20"/>
        </w:rPr>
        <w:t>—</w:t>
      </w:r>
      <w:r w:rsidRPr="007D6189">
        <w:rPr>
          <w:rFonts w:cs="Calibri"/>
          <w:sz w:val="20"/>
          <w:szCs w:val="20"/>
        </w:rPr>
        <w:t>asfaltowe — Metody badań mieszanek mineralno</w:t>
      </w:r>
      <w:r>
        <w:rPr>
          <w:rFonts w:cs="Calibri"/>
          <w:sz w:val="20"/>
          <w:szCs w:val="20"/>
        </w:rPr>
        <w:t>—</w:t>
      </w:r>
      <w:r w:rsidRPr="007D6189">
        <w:rPr>
          <w:rFonts w:cs="Calibri"/>
          <w:sz w:val="20"/>
          <w:szCs w:val="20"/>
        </w:rPr>
        <w:t>asfaltowych na</w:t>
      </w:r>
      <w:r>
        <w:rPr>
          <w:rFonts w:cs="Calibri"/>
          <w:sz w:val="20"/>
          <w:szCs w:val="20"/>
        </w:rPr>
        <w:t xml:space="preserve"> </w:t>
      </w:r>
      <w:r w:rsidRPr="007D6189">
        <w:rPr>
          <w:rFonts w:cs="Calibri"/>
          <w:sz w:val="20"/>
          <w:szCs w:val="20"/>
        </w:rPr>
        <w:t>gorąco — Część 6: Oznaczanie gęstości objętościowej metodą</w:t>
      </w:r>
      <w:r>
        <w:rPr>
          <w:rFonts w:cs="Calibri"/>
          <w:sz w:val="20"/>
          <w:szCs w:val="20"/>
        </w:rPr>
        <w:t xml:space="preserve"> </w:t>
      </w:r>
      <w:r w:rsidRPr="007D6189">
        <w:rPr>
          <w:rFonts w:cs="Calibri"/>
          <w:sz w:val="20"/>
          <w:szCs w:val="20"/>
        </w:rPr>
        <w:t>hydrostatyczn</w:t>
      </w:r>
      <w:r>
        <w:rPr>
          <w:rFonts w:cs="Calibri"/>
          <w:sz w:val="20"/>
          <w:szCs w:val="20"/>
        </w:rPr>
        <w:t>ą;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7D6189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7D6189">
        <w:rPr>
          <w:rFonts w:cs="Calibri"/>
          <w:sz w:val="20"/>
          <w:szCs w:val="20"/>
        </w:rPr>
        <w:t>EN 12697</w:t>
      </w:r>
      <w:r>
        <w:rPr>
          <w:rFonts w:cs="Calibri"/>
          <w:sz w:val="20"/>
          <w:szCs w:val="20"/>
        </w:rPr>
        <w:t>—</w:t>
      </w:r>
      <w:r w:rsidRPr="007D6189">
        <w:rPr>
          <w:rFonts w:cs="Calibri"/>
          <w:sz w:val="20"/>
          <w:szCs w:val="20"/>
        </w:rPr>
        <w:t>8 Mieszanki mineralno</w:t>
      </w:r>
      <w:r>
        <w:rPr>
          <w:rFonts w:cs="Calibri"/>
          <w:sz w:val="20"/>
          <w:szCs w:val="20"/>
        </w:rPr>
        <w:t>—</w:t>
      </w:r>
      <w:r w:rsidRPr="007D6189">
        <w:rPr>
          <w:rFonts w:cs="Calibri"/>
          <w:sz w:val="20"/>
          <w:szCs w:val="20"/>
        </w:rPr>
        <w:t>asfaltowe — Metody badań mieszanek mineralno</w:t>
      </w:r>
      <w:r>
        <w:rPr>
          <w:rFonts w:cs="Calibri"/>
          <w:sz w:val="20"/>
          <w:szCs w:val="20"/>
        </w:rPr>
        <w:t>—</w:t>
      </w:r>
      <w:r w:rsidRPr="007D6189">
        <w:rPr>
          <w:rFonts w:cs="Calibri"/>
          <w:sz w:val="20"/>
          <w:szCs w:val="20"/>
        </w:rPr>
        <w:t>asfaltowych na</w:t>
      </w:r>
      <w:r>
        <w:rPr>
          <w:rFonts w:cs="Calibri"/>
          <w:sz w:val="20"/>
          <w:szCs w:val="20"/>
        </w:rPr>
        <w:t xml:space="preserve"> </w:t>
      </w:r>
      <w:r w:rsidRPr="007D6189">
        <w:rPr>
          <w:rFonts w:cs="Calibri"/>
          <w:sz w:val="20"/>
          <w:szCs w:val="20"/>
        </w:rPr>
        <w:t xml:space="preserve">gorąco </w:t>
      </w:r>
      <w:r>
        <w:rPr>
          <w:rFonts w:cs="Calibri"/>
          <w:sz w:val="20"/>
          <w:szCs w:val="20"/>
        </w:rPr>
        <w:t>—</w:t>
      </w:r>
      <w:r w:rsidRPr="007D6189">
        <w:rPr>
          <w:rFonts w:cs="Calibri"/>
          <w:sz w:val="20"/>
          <w:szCs w:val="20"/>
        </w:rPr>
        <w:t xml:space="preserve"> Część 8: Oznaczanie zawartości wolnej przestrzeni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8308E8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EN 12697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11 Mieszanki mineralno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asfaltowe — Metody badań mieszanek mineralno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asfaltowych na</w:t>
      </w:r>
      <w:r>
        <w:rPr>
          <w:rFonts w:cs="Calibri"/>
          <w:sz w:val="20"/>
          <w:szCs w:val="20"/>
        </w:rPr>
        <w:t xml:space="preserve"> </w:t>
      </w:r>
      <w:r w:rsidRPr="008308E8">
        <w:rPr>
          <w:rFonts w:cs="Calibri"/>
          <w:sz w:val="20"/>
          <w:szCs w:val="20"/>
        </w:rPr>
        <w:t xml:space="preserve">gorąco 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 xml:space="preserve"> Część 11: Określenie powiązania pomiędzy kruszywem i asfaltem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8308E8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EN 12697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12 Mieszanki mineralno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asfaltowe — Metody badań mieszanek mineralno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asfaltowych na</w:t>
      </w:r>
      <w:r>
        <w:rPr>
          <w:rFonts w:cs="Calibri"/>
          <w:sz w:val="20"/>
          <w:szCs w:val="20"/>
        </w:rPr>
        <w:t xml:space="preserve"> </w:t>
      </w:r>
      <w:r w:rsidRPr="008308E8">
        <w:rPr>
          <w:rFonts w:cs="Calibri"/>
          <w:sz w:val="20"/>
          <w:szCs w:val="20"/>
        </w:rPr>
        <w:t>gorąco — Część 12: Określanie wrażliwości na wodę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8308E8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EN 12697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13 Mieszanki mineralno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asfaltowe — Metody badań mieszanek mineralno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asfaltowych na</w:t>
      </w:r>
      <w:r>
        <w:rPr>
          <w:rFonts w:cs="Calibri"/>
          <w:sz w:val="20"/>
          <w:szCs w:val="20"/>
        </w:rPr>
        <w:t xml:space="preserve"> </w:t>
      </w:r>
      <w:r w:rsidRPr="008308E8">
        <w:rPr>
          <w:rFonts w:cs="Calibri"/>
          <w:sz w:val="20"/>
          <w:szCs w:val="20"/>
        </w:rPr>
        <w:t>gorąco — Część 13: Pomiar temperatury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8308E8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EN 12697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18 Mieszanki mineralno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asfaltowe — Metody badań mieszanek mineralno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asfaltowych na</w:t>
      </w:r>
      <w:r>
        <w:rPr>
          <w:rFonts w:cs="Calibri"/>
          <w:sz w:val="20"/>
          <w:szCs w:val="20"/>
        </w:rPr>
        <w:t xml:space="preserve"> </w:t>
      </w:r>
      <w:r w:rsidRPr="008308E8">
        <w:rPr>
          <w:rFonts w:cs="Calibri"/>
          <w:sz w:val="20"/>
          <w:szCs w:val="20"/>
        </w:rPr>
        <w:t>gorąco — Część 18: Spływanie lepiszcza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8308E8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EN 12697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22 Mieszanki mineralno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asfaltowe — Metody badań mieszanek mineralno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asfaltowych na</w:t>
      </w:r>
      <w:r>
        <w:rPr>
          <w:rFonts w:cs="Calibri"/>
          <w:sz w:val="20"/>
          <w:szCs w:val="20"/>
        </w:rPr>
        <w:t xml:space="preserve"> </w:t>
      </w:r>
      <w:r w:rsidRPr="008308E8">
        <w:rPr>
          <w:rFonts w:cs="Calibri"/>
          <w:sz w:val="20"/>
          <w:szCs w:val="20"/>
        </w:rPr>
        <w:t>gorąco — Część 22: Koleinowanie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8308E8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EN 12697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27 Mieszanki mineralno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asfaltowe — Metody badań mieszanek mineralno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asfaltowych na</w:t>
      </w:r>
      <w:r>
        <w:rPr>
          <w:rFonts w:cs="Calibri"/>
          <w:sz w:val="20"/>
          <w:szCs w:val="20"/>
        </w:rPr>
        <w:t xml:space="preserve"> </w:t>
      </w:r>
      <w:r w:rsidRPr="008308E8">
        <w:rPr>
          <w:rFonts w:cs="Calibri"/>
          <w:sz w:val="20"/>
          <w:szCs w:val="20"/>
        </w:rPr>
        <w:t>gorąco — Część 27: Pobieranie próbek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8308E8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EN 12697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36 Mieszanki mineralno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asfaltowe — Metody badań mieszanek mineralno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asfaltowych na</w:t>
      </w:r>
      <w:r>
        <w:rPr>
          <w:rFonts w:cs="Calibri"/>
          <w:sz w:val="20"/>
          <w:szCs w:val="20"/>
        </w:rPr>
        <w:t xml:space="preserve"> </w:t>
      </w:r>
      <w:r w:rsidRPr="008308E8">
        <w:rPr>
          <w:rFonts w:cs="Calibri"/>
          <w:sz w:val="20"/>
          <w:szCs w:val="20"/>
        </w:rPr>
        <w:t>gorąco — Część 36: Oznaczanie grubości nawierzchni asfaltowych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8308E8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8308E8">
        <w:rPr>
          <w:rFonts w:cs="Calibri"/>
          <w:sz w:val="20"/>
          <w:szCs w:val="20"/>
        </w:rPr>
        <w:t>EN 12846 Asfalty i lepiszcza asfaltowe — Oznaczanie czasu wypływu emulsji asfaltowych</w:t>
      </w:r>
      <w:r>
        <w:rPr>
          <w:rFonts w:cs="Calibri"/>
          <w:sz w:val="20"/>
          <w:szCs w:val="20"/>
        </w:rPr>
        <w:t xml:space="preserve"> </w:t>
      </w:r>
      <w:r w:rsidRPr="008308E8">
        <w:rPr>
          <w:rFonts w:cs="Calibri"/>
          <w:sz w:val="20"/>
          <w:szCs w:val="20"/>
        </w:rPr>
        <w:t>lepkościomierzem wypływowym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autoSpaceDE w:val="0"/>
        <w:autoSpaceDN w:val="0"/>
        <w:adjustRightInd w:val="0"/>
        <w:spacing w:after="0" w:line="240" w:lineRule="auto"/>
        <w:ind w:left="786"/>
        <w:jc w:val="both"/>
        <w:rPr>
          <w:rFonts w:cs="Calibri"/>
          <w:sz w:val="20"/>
          <w:szCs w:val="20"/>
        </w:rPr>
      </w:pPr>
      <w:r w:rsidRPr="00B77EFA">
        <w:rPr>
          <w:rFonts w:cs="Calibri"/>
          <w:sz w:val="20"/>
          <w:szCs w:val="20"/>
        </w:rPr>
        <w:t xml:space="preserve">Asfalty i lepiszcza asfaltowe </w:t>
      </w:r>
      <w:r>
        <w:rPr>
          <w:rFonts w:cs="Calibri"/>
          <w:sz w:val="20"/>
          <w:szCs w:val="20"/>
        </w:rPr>
        <w:t>—</w:t>
      </w:r>
      <w:r w:rsidRPr="00B77EFA">
        <w:rPr>
          <w:rFonts w:cs="Calibri"/>
          <w:sz w:val="20"/>
          <w:szCs w:val="20"/>
        </w:rPr>
        <w:t xml:space="preserve"> Oznaczanie wartości pH emulsji asfaltowych</w:t>
      </w:r>
      <w:r>
        <w:rPr>
          <w:rFonts w:cs="Calibri"/>
          <w:sz w:val="20"/>
          <w:szCs w:val="20"/>
        </w:rPr>
        <w:t>;</w:t>
      </w:r>
    </w:p>
    <w:p w:rsidR="002F5D21" w:rsidRPr="007B7F62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7B7F62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7B7F62">
        <w:rPr>
          <w:rFonts w:cs="Calibri"/>
          <w:sz w:val="20"/>
          <w:szCs w:val="20"/>
        </w:rPr>
        <w:t>EN 12847 Kruszywa do mieszanek bitumicznych i powierzchniowych utrwaleń stosowanych na drogach, lotniskach i innych powierzchniach przeznaczonych do ruchu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7B7F62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7B7F62">
        <w:rPr>
          <w:rFonts w:cs="Calibri"/>
          <w:sz w:val="20"/>
          <w:szCs w:val="20"/>
        </w:rPr>
        <w:t>EN 12850</w:t>
      </w:r>
      <w:r>
        <w:rPr>
          <w:rFonts w:cs="Calibri"/>
          <w:sz w:val="20"/>
          <w:szCs w:val="20"/>
        </w:rPr>
        <w:t xml:space="preserve"> </w:t>
      </w:r>
      <w:r w:rsidRPr="00B77EFA">
        <w:rPr>
          <w:rFonts w:cs="Calibri"/>
          <w:sz w:val="20"/>
          <w:szCs w:val="20"/>
        </w:rPr>
        <w:t xml:space="preserve">Asfalty i lepiszcza asfaltowe </w:t>
      </w:r>
      <w:r>
        <w:rPr>
          <w:rFonts w:cs="Calibri"/>
          <w:sz w:val="20"/>
          <w:szCs w:val="20"/>
        </w:rPr>
        <w:t>—</w:t>
      </w:r>
      <w:r w:rsidRPr="00B77EFA">
        <w:rPr>
          <w:rFonts w:cs="Calibri"/>
          <w:sz w:val="20"/>
          <w:szCs w:val="20"/>
        </w:rPr>
        <w:t xml:space="preserve"> Oznaczanie lepiszczy z emulsji asfaltowych przez </w:t>
      </w:r>
      <w:r>
        <w:rPr>
          <w:rFonts w:cs="Calibri"/>
          <w:sz w:val="20"/>
          <w:szCs w:val="20"/>
        </w:rPr>
        <w:br/>
      </w:r>
      <w:r w:rsidRPr="00B77EFA">
        <w:rPr>
          <w:rFonts w:cs="Calibri"/>
          <w:sz w:val="20"/>
          <w:szCs w:val="20"/>
        </w:rPr>
        <w:t xml:space="preserve">o </w:t>
      </w:r>
      <w:r>
        <w:rPr>
          <w:rFonts w:cs="Calibri"/>
          <w:sz w:val="20"/>
          <w:szCs w:val="20"/>
        </w:rPr>
        <w:t>odparowanie;</w:t>
      </w:r>
    </w:p>
    <w:p w:rsidR="002F5D21" w:rsidRPr="007B7F62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7B7F62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7B7F62">
        <w:rPr>
          <w:rFonts w:cs="Calibri"/>
          <w:sz w:val="20"/>
          <w:szCs w:val="20"/>
        </w:rPr>
        <w:t>EN 13043 Asfalty i lepiszcza asfaltowe — Badanie rozpadu — Część 1: Oznaczanie indeksu rozpadu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7B7F62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7B7F62">
        <w:rPr>
          <w:rFonts w:cs="Calibri"/>
          <w:sz w:val="20"/>
          <w:szCs w:val="20"/>
        </w:rPr>
        <w:t xml:space="preserve">EN 13074 </w:t>
      </w:r>
      <w:r>
        <w:t>Asfalty i lepiszcza asfaltowe— Odzyskiwanie lepiszcza z emulsji asfaltowych lub lepiszczy asfaltowych upłynnionych lub fluksowanych— Część 1: Odzyskiwanie metodą odparowania;</w:t>
      </w:r>
    </w:p>
    <w:p w:rsidR="002F5D21" w:rsidRPr="00D52BAE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2BAE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>EN 13075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 xml:space="preserve">1 </w:t>
      </w:r>
      <w:r>
        <w:t>Asfalty i lepiszcza asfaltowe— Oznaczanie charakteru rozpadu — Część 1: Oznaczanie indeksu rozpadu kationowych emulsji asfaltowych, metoda z wypełniaczem mineralnym;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2BAE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>EN 13108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>1 Mieszanki mineralno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>asfaltowe — Wymagania — Część 1: Beton asfaltowy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2BAE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>EN 13108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>20 Mieszanki mineralno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 xml:space="preserve">asfaltowe 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 xml:space="preserve"> Wymagania 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 xml:space="preserve"> Część 20: Badanie typu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2BAE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>EN 13179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>1 Badania kruszyw wypełniających stosowanych do mieszanek bitumicznych — Część 1:</w:t>
      </w:r>
      <w:r>
        <w:rPr>
          <w:rFonts w:cs="Calibri"/>
          <w:sz w:val="20"/>
          <w:szCs w:val="20"/>
        </w:rPr>
        <w:t xml:space="preserve"> </w:t>
      </w:r>
      <w:r w:rsidRPr="00D52BAE">
        <w:rPr>
          <w:rFonts w:cs="Calibri"/>
          <w:sz w:val="20"/>
          <w:szCs w:val="20"/>
        </w:rPr>
        <w:t>Badanie metodą Pierścienia i Kuli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2BAE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>EN 13179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 xml:space="preserve">2 Badania kruszyw wypełniających stosowanych do mieszanek bitumicznych 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 xml:space="preserve"> Część 2: Liczba bitumiczna</w:t>
      </w:r>
      <w:r>
        <w:rPr>
          <w:rFonts w:cs="Calibri"/>
          <w:sz w:val="20"/>
          <w:szCs w:val="20"/>
        </w:rPr>
        <w:t>;</w:t>
      </w:r>
    </w:p>
    <w:p w:rsidR="002F5D21" w:rsidRPr="00D52BAE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2BAE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 xml:space="preserve">EN 13398 Asfalty i lepiszcza asfaltowe — Oznaczanie nawrotu sprężystego asfaltów </w:t>
      </w:r>
      <w:r>
        <w:rPr>
          <w:rFonts w:cs="Calibri"/>
          <w:sz w:val="20"/>
          <w:szCs w:val="20"/>
        </w:rPr>
        <w:t>m</w:t>
      </w:r>
      <w:r w:rsidRPr="00D52BAE">
        <w:rPr>
          <w:rFonts w:cs="Calibri"/>
          <w:sz w:val="20"/>
          <w:szCs w:val="20"/>
        </w:rPr>
        <w:t>odyfikowanych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2BAE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>EN 13399 Asfalty i lepiszcza asfaltowe — Oznaczanie odporności na magazynowanie modyfikowanych asfaltów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2BAE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>EN 1358</w:t>
      </w:r>
      <w:r>
        <w:rPr>
          <w:rFonts w:cs="Calibri"/>
          <w:sz w:val="20"/>
          <w:szCs w:val="20"/>
        </w:rPr>
        <w:t>7</w:t>
      </w:r>
      <w:r w:rsidRPr="00D52BAE">
        <w:rPr>
          <w:rFonts w:cs="Calibri"/>
          <w:sz w:val="20"/>
          <w:szCs w:val="20"/>
        </w:rPr>
        <w:t xml:space="preserve"> Asfalty i lepiszcza asfaltowe 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 xml:space="preserve"> Oznaczanie ciągliwości lepiszczy asfaltowych metodą pomiaru ciągliwości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2BAE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>EN 13588 Asfalty i lepiszcza asfaltowe — Oznaczanie kohezji lepiszczy asfaltowych metodą testu</w:t>
      </w:r>
      <w:r>
        <w:rPr>
          <w:rFonts w:cs="Calibri"/>
          <w:sz w:val="20"/>
          <w:szCs w:val="20"/>
        </w:rPr>
        <w:t xml:space="preserve"> </w:t>
      </w:r>
      <w:r w:rsidRPr="00D52BAE">
        <w:rPr>
          <w:rFonts w:cs="Calibri"/>
          <w:sz w:val="20"/>
          <w:szCs w:val="20"/>
        </w:rPr>
        <w:t>wahadłowego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2BAE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 xml:space="preserve">EN 13589 Asfalty i lepiszcza asfaltowe 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 xml:space="preserve"> Oznaczanie ciągliwości modyfikowanych asfaltów </w:t>
      </w:r>
      <w:r>
        <w:rPr>
          <w:rFonts w:cs="Calibri"/>
          <w:sz w:val="20"/>
          <w:szCs w:val="20"/>
        </w:rPr>
        <w:t xml:space="preserve">— </w:t>
      </w:r>
      <w:r w:rsidRPr="00D52BAE">
        <w:rPr>
          <w:rFonts w:cs="Calibri"/>
          <w:sz w:val="20"/>
          <w:szCs w:val="20"/>
        </w:rPr>
        <w:t xml:space="preserve">Metoda </w:t>
      </w:r>
      <w:r>
        <w:rPr>
          <w:rFonts w:cs="Calibri"/>
          <w:sz w:val="20"/>
          <w:szCs w:val="20"/>
        </w:rPr>
        <w:br/>
      </w:r>
      <w:r w:rsidRPr="00D52BAE">
        <w:rPr>
          <w:rFonts w:cs="Calibri"/>
          <w:sz w:val="20"/>
          <w:szCs w:val="20"/>
        </w:rPr>
        <w:t>z duktylometrem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2BAE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>EN 13614 Asfalty i lepiszcza asfaltowe — Oznaczanie przyczepności emulsji bitumicznych przez zanurzenie w wodzie — Metoda z kruszywem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2BAE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 xml:space="preserve">EN 13703 Asfalty i lepiszcza asfaltowe 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 xml:space="preserve"> Oznaczanie energii deformacji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D52BAE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 xml:space="preserve">EN 13808 Asfalty i lepiszcza asfaltowe </w:t>
      </w:r>
      <w:r>
        <w:rPr>
          <w:rFonts w:cs="Calibri"/>
          <w:sz w:val="20"/>
          <w:szCs w:val="20"/>
        </w:rPr>
        <w:t>—</w:t>
      </w:r>
      <w:r w:rsidRPr="00D52BAE">
        <w:rPr>
          <w:rFonts w:cs="Calibri"/>
          <w:sz w:val="20"/>
          <w:szCs w:val="20"/>
        </w:rPr>
        <w:t xml:space="preserve"> Zasady specyfikacji kationowych emulsji asfaltowych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2A4012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2A4012">
        <w:rPr>
          <w:rFonts w:cs="Calibri"/>
          <w:sz w:val="20"/>
          <w:szCs w:val="20"/>
        </w:rPr>
        <w:t xml:space="preserve">EN 14023 Asfalty i lepiszcza asfaltowe </w:t>
      </w:r>
      <w:r>
        <w:rPr>
          <w:rFonts w:cs="Calibri"/>
          <w:sz w:val="20"/>
          <w:szCs w:val="20"/>
        </w:rPr>
        <w:t>—</w:t>
      </w:r>
      <w:r w:rsidRPr="002A4012">
        <w:rPr>
          <w:rFonts w:cs="Calibri"/>
          <w:sz w:val="20"/>
          <w:szCs w:val="20"/>
        </w:rPr>
        <w:t xml:space="preserve"> Zasady specyfikacji asfaltów modyfikowanych</w:t>
      </w:r>
      <w:r>
        <w:rPr>
          <w:rFonts w:cs="Calibri"/>
          <w:sz w:val="20"/>
          <w:szCs w:val="20"/>
        </w:rPr>
        <w:t xml:space="preserve"> </w:t>
      </w:r>
      <w:r w:rsidRPr="002A4012">
        <w:rPr>
          <w:rFonts w:cs="Calibri"/>
          <w:sz w:val="20"/>
          <w:szCs w:val="20"/>
        </w:rPr>
        <w:t>polimerami</w:t>
      </w:r>
      <w:r>
        <w:rPr>
          <w:rFonts w:cs="Calibri"/>
          <w:sz w:val="20"/>
          <w:szCs w:val="20"/>
        </w:rPr>
        <w:t>;</w:t>
      </w:r>
    </w:p>
    <w:p w:rsidR="002F5D21" w:rsidRPr="002A4012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2A4012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2A4012">
        <w:rPr>
          <w:rFonts w:cs="Calibri"/>
          <w:sz w:val="20"/>
          <w:szCs w:val="20"/>
        </w:rPr>
        <w:t>EN 14188</w:t>
      </w:r>
      <w:r>
        <w:rPr>
          <w:rFonts w:cs="Calibri"/>
          <w:sz w:val="20"/>
          <w:szCs w:val="20"/>
        </w:rPr>
        <w:t>—</w:t>
      </w:r>
      <w:r w:rsidRPr="002A4012">
        <w:rPr>
          <w:rFonts w:cs="Calibri"/>
          <w:sz w:val="20"/>
          <w:szCs w:val="20"/>
        </w:rPr>
        <w:t xml:space="preserve">1 </w:t>
      </w:r>
      <w:r w:rsidRPr="00D54E7E">
        <w:rPr>
          <w:rFonts w:cs="Calibri"/>
          <w:sz w:val="20"/>
          <w:szCs w:val="20"/>
        </w:rPr>
        <w:t>Wypełniacze złączy i zalewy — Część 1: Specyfikacja zalew na gorąco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2A4012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2A4012">
        <w:rPr>
          <w:rFonts w:cs="Calibri"/>
          <w:sz w:val="20"/>
          <w:szCs w:val="20"/>
        </w:rPr>
        <w:t>EN 14188</w:t>
      </w:r>
      <w:r>
        <w:rPr>
          <w:rFonts w:cs="Calibri"/>
          <w:sz w:val="20"/>
          <w:szCs w:val="20"/>
        </w:rPr>
        <w:t>—</w:t>
      </w:r>
      <w:r w:rsidRPr="002A4012">
        <w:rPr>
          <w:rFonts w:cs="Calibri"/>
          <w:sz w:val="20"/>
          <w:szCs w:val="20"/>
        </w:rPr>
        <w:t xml:space="preserve">2 </w:t>
      </w:r>
      <w:r w:rsidRPr="00D54E7E">
        <w:rPr>
          <w:rFonts w:cs="Calibri"/>
          <w:sz w:val="20"/>
          <w:szCs w:val="20"/>
        </w:rPr>
        <w:t>Wypełniacze złączy i zalewy — Część 2: Specyfikacja zalew na zimno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AB76D8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AB76D8">
        <w:rPr>
          <w:rFonts w:cs="Calibri"/>
          <w:sz w:val="20"/>
          <w:szCs w:val="20"/>
        </w:rPr>
        <w:t>EN 22592 Przetwory naftowe — Oznaczanie temperatury zapłonu i palenia — Pomiar metodą otwartego tygla Clevelanda</w:t>
      </w:r>
      <w:r>
        <w:rPr>
          <w:rFonts w:cs="Calibri"/>
          <w:sz w:val="20"/>
          <w:szCs w:val="20"/>
        </w:rPr>
        <w:t>;</w:t>
      </w:r>
    </w:p>
    <w:p w:rsidR="002F5D21" w:rsidRPr="00AB76D8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AB76D8">
        <w:rPr>
          <w:rFonts w:cs="Calibri"/>
          <w:sz w:val="20"/>
          <w:szCs w:val="20"/>
        </w:rPr>
        <w:t>PN</w:t>
      </w:r>
      <w:r>
        <w:rPr>
          <w:rFonts w:cs="Calibri"/>
          <w:sz w:val="20"/>
          <w:szCs w:val="20"/>
        </w:rPr>
        <w:t>—</w:t>
      </w:r>
      <w:r w:rsidRPr="00AB76D8">
        <w:rPr>
          <w:rFonts w:cs="Calibri"/>
          <w:sz w:val="20"/>
          <w:szCs w:val="20"/>
        </w:rPr>
        <w:t xml:space="preserve">EN ISO 2592 10.3. Oznaczanie temperatury zapłonu i palenia </w:t>
      </w:r>
      <w:r>
        <w:rPr>
          <w:rFonts w:cs="Calibri"/>
          <w:sz w:val="20"/>
          <w:szCs w:val="20"/>
        </w:rPr>
        <w:t>—</w:t>
      </w:r>
      <w:r w:rsidRPr="00AB76D8">
        <w:rPr>
          <w:rFonts w:cs="Calibri"/>
          <w:sz w:val="20"/>
          <w:szCs w:val="20"/>
        </w:rPr>
        <w:t xml:space="preserve"> Metoda otwartego tygla Clevelanda</w:t>
      </w:r>
      <w:r>
        <w:rPr>
          <w:rFonts w:cs="Calibri"/>
          <w:sz w:val="20"/>
          <w:szCs w:val="20"/>
        </w:rPr>
        <w:t>;</w:t>
      </w:r>
    </w:p>
    <w:p w:rsidR="002F5D21" w:rsidRDefault="002F5D21" w:rsidP="007B7F62">
      <w:pPr>
        <w:pStyle w:val="ListParagraph"/>
        <w:autoSpaceDE w:val="0"/>
        <w:autoSpaceDN w:val="0"/>
        <w:adjustRightInd w:val="0"/>
        <w:spacing w:after="0" w:line="240" w:lineRule="auto"/>
        <w:ind w:left="786"/>
        <w:jc w:val="both"/>
        <w:rPr>
          <w:rFonts w:cs="Calibri"/>
          <w:sz w:val="20"/>
          <w:szCs w:val="20"/>
        </w:rPr>
      </w:pPr>
    </w:p>
    <w:p w:rsidR="002F5D21" w:rsidRDefault="002F5D21" w:rsidP="00E03AD5">
      <w:pPr>
        <w:pStyle w:val="ListParagraph"/>
        <w:autoSpaceDE w:val="0"/>
        <w:autoSpaceDN w:val="0"/>
        <w:adjustRightInd w:val="0"/>
        <w:spacing w:after="0" w:line="240" w:lineRule="auto"/>
        <w:ind w:left="142"/>
        <w:jc w:val="both"/>
        <w:rPr>
          <w:rFonts w:cs="Calibri"/>
          <w:b/>
          <w:sz w:val="20"/>
          <w:szCs w:val="20"/>
        </w:rPr>
      </w:pPr>
      <w:r w:rsidRPr="00E03AD5">
        <w:rPr>
          <w:rFonts w:cs="Calibri"/>
          <w:b/>
          <w:sz w:val="20"/>
          <w:szCs w:val="20"/>
        </w:rPr>
        <w:t>Wymagania techniczne</w:t>
      </w:r>
    </w:p>
    <w:p w:rsidR="002F5D21" w:rsidRPr="00E03AD5" w:rsidRDefault="002F5D21" w:rsidP="00E03AD5">
      <w:pPr>
        <w:pStyle w:val="ListParagraph"/>
        <w:autoSpaceDE w:val="0"/>
        <w:autoSpaceDN w:val="0"/>
        <w:adjustRightInd w:val="0"/>
        <w:spacing w:after="0" w:line="240" w:lineRule="auto"/>
        <w:ind w:left="142"/>
        <w:jc w:val="both"/>
        <w:rPr>
          <w:rFonts w:cs="Calibri"/>
          <w:b/>
          <w:sz w:val="20"/>
          <w:szCs w:val="20"/>
        </w:rPr>
      </w:pP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E03AD5">
        <w:rPr>
          <w:rFonts w:cs="Calibri"/>
          <w:sz w:val="20"/>
          <w:szCs w:val="20"/>
        </w:rPr>
        <w:t>WT</w:t>
      </w:r>
      <w:r>
        <w:rPr>
          <w:rFonts w:cs="Calibri"/>
          <w:sz w:val="20"/>
          <w:szCs w:val="20"/>
        </w:rPr>
        <w:t>—</w:t>
      </w:r>
      <w:r w:rsidRPr="00E03AD5">
        <w:rPr>
          <w:rFonts w:cs="Calibri"/>
          <w:sz w:val="20"/>
          <w:szCs w:val="20"/>
        </w:rPr>
        <w:t>1 Kruszywa 2010. Kruszywa do mieszanek mineralno</w:t>
      </w:r>
      <w:r>
        <w:rPr>
          <w:rFonts w:cs="Calibri"/>
          <w:sz w:val="20"/>
          <w:szCs w:val="20"/>
        </w:rPr>
        <w:t>—</w:t>
      </w:r>
      <w:r w:rsidRPr="00E03AD5">
        <w:rPr>
          <w:rFonts w:cs="Calibri"/>
          <w:sz w:val="20"/>
          <w:szCs w:val="20"/>
        </w:rPr>
        <w:t xml:space="preserve">asfaltowych i powierzchniowych utrwaleń na drogach krajowych </w:t>
      </w:r>
      <w:r>
        <w:rPr>
          <w:rFonts w:cs="Calibri"/>
          <w:sz w:val="20"/>
          <w:szCs w:val="20"/>
        </w:rPr>
        <w:t>—</w:t>
      </w:r>
      <w:r w:rsidRPr="00E03AD5">
        <w:rPr>
          <w:rFonts w:cs="Calibri"/>
          <w:sz w:val="20"/>
          <w:szCs w:val="20"/>
        </w:rPr>
        <w:t xml:space="preserve"> Zarządzenie nr 102 Generalnego Dyrektora Dróg Krajowych i Autostrad z dnia </w:t>
      </w:r>
      <w:r>
        <w:rPr>
          <w:rFonts w:cs="Calibri"/>
          <w:sz w:val="20"/>
          <w:szCs w:val="20"/>
        </w:rPr>
        <w:br/>
      </w:r>
      <w:r w:rsidRPr="00E03AD5">
        <w:rPr>
          <w:rFonts w:cs="Calibri"/>
          <w:sz w:val="20"/>
          <w:szCs w:val="20"/>
        </w:rPr>
        <w:t>19 listopada 2010 r.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E03AD5">
        <w:rPr>
          <w:rFonts w:cs="Calibri"/>
          <w:sz w:val="20"/>
          <w:szCs w:val="20"/>
        </w:rPr>
        <w:t>WT</w:t>
      </w:r>
      <w:r>
        <w:rPr>
          <w:rFonts w:cs="Calibri"/>
          <w:sz w:val="20"/>
          <w:szCs w:val="20"/>
        </w:rPr>
        <w:t>—</w:t>
      </w:r>
      <w:r w:rsidRPr="00E03AD5">
        <w:rPr>
          <w:rFonts w:cs="Calibri"/>
          <w:sz w:val="20"/>
          <w:szCs w:val="20"/>
        </w:rPr>
        <w:t xml:space="preserve">2 Nawierzchnie asfaltowe 2010. Nawierzchnie asfaltowe na drogach krajowych </w:t>
      </w:r>
      <w:r>
        <w:rPr>
          <w:rFonts w:cs="Calibri"/>
          <w:sz w:val="20"/>
          <w:szCs w:val="20"/>
        </w:rPr>
        <w:t>—</w:t>
      </w:r>
      <w:r w:rsidRPr="00E03AD5">
        <w:rPr>
          <w:rFonts w:cs="Calibri"/>
          <w:sz w:val="20"/>
          <w:szCs w:val="20"/>
        </w:rPr>
        <w:t xml:space="preserve"> Zarządzenie </w:t>
      </w:r>
      <w:r>
        <w:rPr>
          <w:rFonts w:cs="Calibri"/>
          <w:sz w:val="20"/>
          <w:szCs w:val="20"/>
        </w:rPr>
        <w:br/>
      </w:r>
      <w:r w:rsidRPr="00E03AD5">
        <w:rPr>
          <w:rFonts w:cs="Calibri"/>
          <w:sz w:val="20"/>
          <w:szCs w:val="20"/>
        </w:rPr>
        <w:t>nr 102 Generalnego Dyrektora Dróg Krajowych i Autostrad z dnia 19 listopada 2010 r.</w:t>
      </w:r>
      <w:r>
        <w:rPr>
          <w:rFonts w:cs="Calibri"/>
          <w:sz w:val="20"/>
          <w:szCs w:val="20"/>
        </w:rPr>
        <w:t>;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E03AD5">
        <w:rPr>
          <w:rFonts w:cs="Calibri"/>
          <w:sz w:val="20"/>
          <w:szCs w:val="20"/>
        </w:rPr>
        <w:t>WT</w:t>
      </w:r>
      <w:r>
        <w:rPr>
          <w:rFonts w:cs="Calibri"/>
          <w:sz w:val="20"/>
          <w:szCs w:val="20"/>
        </w:rPr>
        <w:t>—</w:t>
      </w:r>
      <w:r w:rsidRPr="00E03AD5">
        <w:rPr>
          <w:rFonts w:cs="Calibri"/>
          <w:sz w:val="20"/>
          <w:szCs w:val="20"/>
        </w:rPr>
        <w:t>3 Emulsje asfaltowe 2009. Kationowe emulsje asfaltowe na drogach publicznych</w:t>
      </w:r>
      <w:r>
        <w:rPr>
          <w:rFonts w:cs="Calibri"/>
          <w:sz w:val="20"/>
          <w:szCs w:val="20"/>
        </w:rPr>
        <w:t>;</w:t>
      </w:r>
    </w:p>
    <w:p w:rsidR="002F5D21" w:rsidRDefault="002F5D21" w:rsidP="00982849">
      <w:pPr>
        <w:pStyle w:val="ListParagraph"/>
        <w:autoSpaceDE w:val="0"/>
        <w:autoSpaceDN w:val="0"/>
        <w:adjustRightInd w:val="0"/>
        <w:spacing w:after="0" w:line="240" w:lineRule="auto"/>
        <w:ind w:left="786"/>
        <w:jc w:val="both"/>
        <w:rPr>
          <w:rFonts w:cs="Calibri"/>
          <w:sz w:val="20"/>
          <w:szCs w:val="20"/>
        </w:rPr>
      </w:pPr>
    </w:p>
    <w:p w:rsidR="002F5D21" w:rsidRPr="00982849" w:rsidRDefault="002F5D21" w:rsidP="00982849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982849">
        <w:rPr>
          <w:rFonts w:cs="Calibri"/>
          <w:sz w:val="20"/>
          <w:szCs w:val="20"/>
        </w:rPr>
        <w:t>10.4. Inne dokumenty</w:t>
      </w:r>
    </w:p>
    <w:p w:rsidR="002F5D21" w:rsidRDefault="002F5D21" w:rsidP="00E03AD5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982849">
        <w:rPr>
          <w:rFonts w:cs="Calibri"/>
          <w:sz w:val="20"/>
          <w:szCs w:val="20"/>
        </w:rPr>
        <w:t>Rozporządzenie Ministra Transportu i Gospodarki Morskiej z dnia 2 marca 1999 r. w sprawie warunków technicznych, jakim powinny odpowiadać drogi publiczne i ich usytuowanie (Dz.U. nr 43, poz. 430)</w:t>
      </w:r>
      <w:r>
        <w:rPr>
          <w:rFonts w:cs="Calibri"/>
          <w:sz w:val="20"/>
          <w:szCs w:val="20"/>
        </w:rPr>
        <w:t>;</w:t>
      </w:r>
    </w:p>
    <w:p w:rsidR="002F5D21" w:rsidRPr="00982849" w:rsidRDefault="002F5D21" w:rsidP="00982849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982849">
        <w:rPr>
          <w:rFonts w:cs="Calibri"/>
          <w:sz w:val="20"/>
          <w:szCs w:val="20"/>
        </w:rPr>
        <w:t>Katalog typowych konstrukcji nawierzchni podatnych i półsztywnych. Generalna Dyrekcja Dróg</w:t>
      </w:r>
      <w:r>
        <w:rPr>
          <w:rFonts w:cs="Calibri"/>
          <w:sz w:val="20"/>
          <w:szCs w:val="20"/>
        </w:rPr>
        <w:t xml:space="preserve"> </w:t>
      </w:r>
      <w:r w:rsidRPr="00982849">
        <w:rPr>
          <w:rFonts w:cs="Calibri"/>
          <w:sz w:val="20"/>
          <w:szCs w:val="20"/>
        </w:rPr>
        <w:t xml:space="preserve">Publicznych </w:t>
      </w:r>
      <w:r>
        <w:rPr>
          <w:rFonts w:cs="Calibri"/>
          <w:sz w:val="20"/>
          <w:szCs w:val="20"/>
        </w:rPr>
        <w:t>—</w:t>
      </w:r>
      <w:r w:rsidRPr="00982849">
        <w:rPr>
          <w:rFonts w:cs="Calibri"/>
          <w:sz w:val="20"/>
          <w:szCs w:val="20"/>
        </w:rPr>
        <w:t xml:space="preserve"> Instytut Badawczy Dróg i Mostów, Warszawa 1997</w:t>
      </w:r>
      <w:r>
        <w:rPr>
          <w:rFonts w:cs="Calibri"/>
          <w:sz w:val="20"/>
          <w:szCs w:val="20"/>
        </w:rPr>
        <w:t>.</w:t>
      </w:r>
    </w:p>
    <w:p w:rsidR="002F5D21" w:rsidRPr="00D54E7E" w:rsidRDefault="002F5D21" w:rsidP="00D01D3D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Calibri"/>
          <w:sz w:val="20"/>
          <w:szCs w:val="20"/>
        </w:rPr>
      </w:pPr>
    </w:p>
    <w:sectPr w:rsidR="002F5D21" w:rsidRPr="00D54E7E" w:rsidSect="00E57AAC">
      <w:headerReference w:type="default" r:id="rId8"/>
      <w:footerReference w:type="default" r:id="rId9"/>
      <w:pgSz w:w="11906" w:h="16838"/>
      <w:pgMar w:top="1417" w:right="849" w:bottom="1134" w:left="1417" w:header="426" w:footer="33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D21" w:rsidRDefault="002F5D21" w:rsidP="003854EB">
      <w:pPr>
        <w:spacing w:after="0" w:line="240" w:lineRule="auto"/>
      </w:pPr>
      <w:r>
        <w:separator/>
      </w:r>
    </w:p>
  </w:endnote>
  <w:endnote w:type="continuationSeparator" w:id="0">
    <w:p w:rsidR="002F5D21" w:rsidRDefault="002F5D21" w:rsidP="00385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1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D21" w:rsidRPr="002B6F84" w:rsidRDefault="002F5D21" w:rsidP="003854EB">
    <w:pPr>
      <w:autoSpaceDE w:val="0"/>
      <w:autoSpaceDN w:val="0"/>
      <w:adjustRightInd w:val="0"/>
      <w:spacing w:after="0" w:line="240" w:lineRule="auto"/>
      <w:rPr>
        <w:rFonts w:cs="Calibri"/>
        <w:i/>
        <w:color w:val="000000"/>
        <w:sz w:val="14"/>
        <w:szCs w:val="20"/>
      </w:rPr>
    </w:pPr>
    <w:r w:rsidRPr="002B6F84">
      <w:rPr>
        <w:rFonts w:cs="Calibri"/>
        <w:i/>
        <w:color w:val="000000"/>
        <w:sz w:val="14"/>
        <w:szCs w:val="20"/>
      </w:rPr>
      <w:t>Wykonał: R. Madej</w:t>
    </w:r>
  </w:p>
  <w:p w:rsidR="002F5D21" w:rsidRDefault="002F5D21" w:rsidP="00303FBB">
    <w:pPr>
      <w:pStyle w:val="Footer"/>
      <w:tabs>
        <w:tab w:val="left" w:pos="336"/>
        <w:tab w:val="right" w:pos="9356"/>
      </w:tabs>
    </w:pPr>
    <w:r>
      <w:tab/>
    </w:r>
    <w:r>
      <w:tab/>
    </w:r>
    <w:r>
      <w:tab/>
    </w:r>
    <w:r>
      <w:tab/>
    </w:r>
    <w:fldSimple w:instr="PAGE   \* MERGEFORMAT">
      <w:r>
        <w:rPr>
          <w:noProof/>
        </w:rPr>
        <w:t>6</w:t>
      </w:r>
    </w:fldSimple>
  </w:p>
  <w:p w:rsidR="002F5D21" w:rsidRDefault="002F5D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D21" w:rsidRDefault="002F5D21" w:rsidP="003854EB">
      <w:pPr>
        <w:spacing w:after="0" w:line="240" w:lineRule="auto"/>
      </w:pPr>
      <w:r>
        <w:separator/>
      </w:r>
    </w:p>
  </w:footnote>
  <w:footnote w:type="continuationSeparator" w:id="0">
    <w:p w:rsidR="002F5D21" w:rsidRDefault="002F5D21" w:rsidP="00385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D21" w:rsidRPr="00D10B2C" w:rsidRDefault="002F5D21" w:rsidP="00DC0742">
    <w:pPr>
      <w:autoSpaceDE w:val="0"/>
      <w:autoSpaceDN w:val="0"/>
      <w:adjustRightInd w:val="0"/>
      <w:spacing w:after="0" w:line="240" w:lineRule="auto"/>
      <w:jc w:val="right"/>
      <w:rPr>
        <w:rFonts w:ascii="CIDFont+F1" w:hAnsi="CIDFont+F1" w:cs="CIDFont+F1"/>
        <w:color w:val="000000"/>
        <w:sz w:val="16"/>
        <w:szCs w:val="20"/>
      </w:rPr>
    </w:pPr>
    <w:r>
      <w:rPr>
        <w:rFonts w:ascii="CIDFont+F1" w:hAnsi="CIDFont+F1" w:cs="CIDFont+F1"/>
        <w:color w:val="000000"/>
        <w:sz w:val="16"/>
        <w:szCs w:val="20"/>
      </w:rPr>
      <w:t>STWiOR nr 4</w:t>
    </w:r>
  </w:p>
  <w:p w:rsidR="002F5D21" w:rsidRPr="000C067B" w:rsidRDefault="002F5D21" w:rsidP="000C067B">
    <w:pPr>
      <w:jc w:val="right"/>
      <w:rPr>
        <w:rFonts w:cs="Calibri"/>
        <w:b/>
        <w:color w:val="808080"/>
        <w:sz w:val="14"/>
        <w:szCs w:val="16"/>
      </w:rPr>
    </w:pPr>
    <w:r>
      <w:rPr>
        <w:noProof/>
        <w:lang w:eastAsia="pl-PL"/>
      </w:rPr>
      <w:pict>
        <v:line id="_x0000_s2049" style="position:absolute;left:0;text-align:left;z-index:251660288" from=".3pt,13.35pt" to="477pt,13.35pt" strokecolor="gray"/>
      </w:pict>
    </w:r>
    <w:r w:rsidRPr="000C067B">
      <w:rPr>
        <w:sz w:val="14"/>
        <w:szCs w:val="16"/>
      </w:rPr>
      <w:t>IZP.271.2.13.2023                                                                                                                                                                           „Przebudowa ul. Warzywnej w Dąbrowie Tarnowskiej”</w:t>
    </w:r>
  </w:p>
  <w:p w:rsidR="002F5D21" w:rsidRDefault="002F5D2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6048E"/>
    <w:multiLevelType w:val="hybridMultilevel"/>
    <w:tmpl w:val="B76C613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5B2D2D"/>
    <w:multiLevelType w:val="hybridMultilevel"/>
    <w:tmpl w:val="C8783A54"/>
    <w:lvl w:ilvl="0" w:tplc="04150011">
      <w:start w:val="1"/>
      <w:numFmt w:val="decimal"/>
      <w:lvlText w:val="%1)"/>
      <w:lvlJc w:val="left"/>
      <w:pPr>
        <w:ind w:left="190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62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4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61" w:hanging="180"/>
      </w:pPr>
      <w:rPr>
        <w:rFonts w:cs="Times New Roman"/>
      </w:rPr>
    </w:lvl>
  </w:abstractNum>
  <w:abstractNum w:abstractNumId="2">
    <w:nsid w:val="119773E2"/>
    <w:multiLevelType w:val="hybridMultilevel"/>
    <w:tmpl w:val="07500BD4"/>
    <w:lvl w:ilvl="0" w:tplc="04150011">
      <w:start w:val="1"/>
      <w:numFmt w:val="decimal"/>
      <w:lvlText w:val="%1)"/>
      <w:lvlJc w:val="left"/>
      <w:pPr>
        <w:ind w:left="1476" w:hanging="360"/>
      </w:pPr>
      <w:rPr>
        <w:rFonts w:cs="Times New Roman" w:hint="default"/>
      </w:rPr>
    </w:lvl>
    <w:lvl w:ilvl="1" w:tplc="22707C2E">
      <w:start w:val="1"/>
      <w:numFmt w:val="decimal"/>
      <w:lvlText w:val="%2."/>
      <w:lvlJc w:val="left"/>
      <w:pPr>
        <w:ind w:left="2196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  <w:rPr>
        <w:rFonts w:cs="Times New Roman"/>
      </w:rPr>
    </w:lvl>
  </w:abstractNum>
  <w:abstractNum w:abstractNumId="3">
    <w:nsid w:val="14331925"/>
    <w:multiLevelType w:val="hybridMultilevel"/>
    <w:tmpl w:val="B010F4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2A4CF2"/>
    <w:multiLevelType w:val="hybridMultilevel"/>
    <w:tmpl w:val="4F20D03C"/>
    <w:lvl w:ilvl="0" w:tplc="04150011">
      <w:start w:val="1"/>
      <w:numFmt w:val="decimal"/>
      <w:lvlText w:val="%1)"/>
      <w:lvlJc w:val="left"/>
      <w:pPr>
        <w:ind w:left="147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  <w:rPr>
        <w:rFonts w:cs="Times New Roman"/>
      </w:rPr>
    </w:lvl>
  </w:abstractNum>
  <w:abstractNum w:abstractNumId="5">
    <w:nsid w:val="1B4300F7"/>
    <w:multiLevelType w:val="hybridMultilevel"/>
    <w:tmpl w:val="62E2EB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D9D5618"/>
    <w:multiLevelType w:val="hybridMultilevel"/>
    <w:tmpl w:val="2E7EFB62"/>
    <w:lvl w:ilvl="0" w:tplc="0415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7">
    <w:nsid w:val="23482FB3"/>
    <w:multiLevelType w:val="hybridMultilevel"/>
    <w:tmpl w:val="2CB4738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85051E4"/>
    <w:multiLevelType w:val="hybridMultilevel"/>
    <w:tmpl w:val="AA6EE4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A6389B"/>
    <w:multiLevelType w:val="hybridMultilevel"/>
    <w:tmpl w:val="B21EC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EB2F18"/>
    <w:multiLevelType w:val="hybridMultilevel"/>
    <w:tmpl w:val="BEF6610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57623FA"/>
    <w:multiLevelType w:val="hybridMultilevel"/>
    <w:tmpl w:val="CD74850C"/>
    <w:lvl w:ilvl="0" w:tplc="C860BB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6D536FE"/>
    <w:multiLevelType w:val="hybridMultilevel"/>
    <w:tmpl w:val="E678067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87E09AE"/>
    <w:multiLevelType w:val="hybridMultilevel"/>
    <w:tmpl w:val="2E084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04163D"/>
    <w:multiLevelType w:val="hybridMultilevel"/>
    <w:tmpl w:val="ACA25C52"/>
    <w:lvl w:ilvl="0" w:tplc="0415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15">
    <w:nsid w:val="3E050DBF"/>
    <w:multiLevelType w:val="hybridMultilevel"/>
    <w:tmpl w:val="FC0042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5424086"/>
    <w:multiLevelType w:val="hybridMultilevel"/>
    <w:tmpl w:val="25DE1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7E446A"/>
    <w:multiLevelType w:val="hybridMultilevel"/>
    <w:tmpl w:val="AC5CCC8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47EB46AD"/>
    <w:multiLevelType w:val="hybridMultilevel"/>
    <w:tmpl w:val="295610E8"/>
    <w:lvl w:ilvl="0" w:tplc="0415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9">
    <w:nsid w:val="48D54AEA"/>
    <w:multiLevelType w:val="hybridMultilevel"/>
    <w:tmpl w:val="8842E96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>
    <w:nsid w:val="48FC415A"/>
    <w:multiLevelType w:val="hybridMultilevel"/>
    <w:tmpl w:val="9BCEC68C"/>
    <w:lvl w:ilvl="0" w:tplc="0FC41700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1">
    <w:nsid w:val="49EE63FE"/>
    <w:multiLevelType w:val="hybridMultilevel"/>
    <w:tmpl w:val="BE36BA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4C616C14"/>
    <w:multiLevelType w:val="hybridMultilevel"/>
    <w:tmpl w:val="F3BC37C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17B1433"/>
    <w:multiLevelType w:val="hybridMultilevel"/>
    <w:tmpl w:val="5202695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4CE3259"/>
    <w:multiLevelType w:val="hybridMultilevel"/>
    <w:tmpl w:val="9B5ED37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5">
    <w:nsid w:val="560C4C62"/>
    <w:multiLevelType w:val="hybridMultilevel"/>
    <w:tmpl w:val="0C162954"/>
    <w:lvl w:ilvl="0" w:tplc="F37A5696">
      <w:start w:val="1"/>
      <w:numFmt w:val="decimal"/>
      <w:lvlText w:val="%1)"/>
      <w:lvlJc w:val="left"/>
      <w:pPr>
        <w:ind w:left="164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6">
    <w:nsid w:val="58062C3C"/>
    <w:multiLevelType w:val="hybridMultilevel"/>
    <w:tmpl w:val="89B0BB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A4D7F9C"/>
    <w:multiLevelType w:val="hybridMultilevel"/>
    <w:tmpl w:val="BD722F5C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5B646735"/>
    <w:multiLevelType w:val="hybridMultilevel"/>
    <w:tmpl w:val="5CACA38C"/>
    <w:lvl w:ilvl="0" w:tplc="0415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29">
    <w:nsid w:val="5BDD02E7"/>
    <w:multiLevelType w:val="hybridMultilevel"/>
    <w:tmpl w:val="1786B954"/>
    <w:lvl w:ilvl="0" w:tplc="0FC4170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0">
    <w:nsid w:val="60126B03"/>
    <w:multiLevelType w:val="hybridMultilevel"/>
    <w:tmpl w:val="D516447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860BB1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2F773F6"/>
    <w:multiLevelType w:val="hybridMultilevel"/>
    <w:tmpl w:val="F1D06748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2">
    <w:nsid w:val="63050C1C"/>
    <w:multiLevelType w:val="hybridMultilevel"/>
    <w:tmpl w:val="90E08A08"/>
    <w:lvl w:ilvl="0" w:tplc="04150001">
      <w:start w:val="1"/>
      <w:numFmt w:val="bullet"/>
      <w:lvlText w:val=""/>
      <w:lvlJc w:val="left"/>
      <w:pPr>
        <w:ind w:left="14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33">
    <w:nsid w:val="69867A2B"/>
    <w:multiLevelType w:val="hybridMultilevel"/>
    <w:tmpl w:val="24CC09F8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4">
    <w:nsid w:val="70246A75"/>
    <w:multiLevelType w:val="hybridMultilevel"/>
    <w:tmpl w:val="959E6DFA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>
    <w:nsid w:val="70EB2A2E"/>
    <w:multiLevelType w:val="hybridMultilevel"/>
    <w:tmpl w:val="D6FE721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2225E7D"/>
    <w:multiLevelType w:val="hybridMultilevel"/>
    <w:tmpl w:val="4658E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4081E39"/>
    <w:multiLevelType w:val="hybridMultilevel"/>
    <w:tmpl w:val="51DE09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9910032"/>
    <w:multiLevelType w:val="hybridMultilevel"/>
    <w:tmpl w:val="54FCD6C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A975627"/>
    <w:multiLevelType w:val="hybridMultilevel"/>
    <w:tmpl w:val="9B00FC90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>
    <w:nsid w:val="7B8F74F9"/>
    <w:multiLevelType w:val="hybridMultilevel"/>
    <w:tmpl w:val="A1DC09A8"/>
    <w:lvl w:ilvl="0" w:tplc="0415000F">
      <w:start w:val="1"/>
      <w:numFmt w:val="decimal"/>
      <w:lvlText w:val="%1."/>
      <w:lvlJc w:val="left"/>
      <w:pPr>
        <w:ind w:left="147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  <w:rPr>
        <w:rFonts w:cs="Times New Roman"/>
      </w:rPr>
    </w:lvl>
  </w:abstractNum>
  <w:abstractNum w:abstractNumId="41">
    <w:nsid w:val="7E4F691E"/>
    <w:multiLevelType w:val="hybridMultilevel"/>
    <w:tmpl w:val="E74AA09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ED874BB"/>
    <w:multiLevelType w:val="hybridMultilevel"/>
    <w:tmpl w:val="1182128A"/>
    <w:lvl w:ilvl="0" w:tplc="C860BB1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30"/>
  </w:num>
  <w:num w:numId="3">
    <w:abstractNumId w:val="16"/>
  </w:num>
  <w:num w:numId="4">
    <w:abstractNumId w:val="19"/>
  </w:num>
  <w:num w:numId="5">
    <w:abstractNumId w:val="42"/>
  </w:num>
  <w:num w:numId="6">
    <w:abstractNumId w:val="11"/>
  </w:num>
  <w:num w:numId="7">
    <w:abstractNumId w:val="36"/>
  </w:num>
  <w:num w:numId="8">
    <w:abstractNumId w:val="21"/>
  </w:num>
  <w:num w:numId="9">
    <w:abstractNumId w:val="33"/>
  </w:num>
  <w:num w:numId="10">
    <w:abstractNumId w:val="26"/>
  </w:num>
  <w:num w:numId="11">
    <w:abstractNumId w:val="24"/>
  </w:num>
  <w:num w:numId="12">
    <w:abstractNumId w:val="31"/>
  </w:num>
  <w:num w:numId="13">
    <w:abstractNumId w:val="23"/>
  </w:num>
  <w:num w:numId="14">
    <w:abstractNumId w:val="25"/>
  </w:num>
  <w:num w:numId="15">
    <w:abstractNumId w:val="35"/>
  </w:num>
  <w:num w:numId="16">
    <w:abstractNumId w:val="15"/>
  </w:num>
  <w:num w:numId="17">
    <w:abstractNumId w:val="41"/>
  </w:num>
  <w:num w:numId="18">
    <w:abstractNumId w:val="10"/>
  </w:num>
  <w:num w:numId="19">
    <w:abstractNumId w:val="34"/>
  </w:num>
  <w:num w:numId="20">
    <w:abstractNumId w:val="9"/>
  </w:num>
  <w:num w:numId="21">
    <w:abstractNumId w:val="13"/>
  </w:num>
  <w:num w:numId="22">
    <w:abstractNumId w:val="40"/>
  </w:num>
  <w:num w:numId="23">
    <w:abstractNumId w:val="2"/>
  </w:num>
  <w:num w:numId="24">
    <w:abstractNumId w:val="6"/>
  </w:num>
  <w:num w:numId="25">
    <w:abstractNumId w:val="28"/>
  </w:num>
  <w:num w:numId="26">
    <w:abstractNumId w:val="12"/>
  </w:num>
  <w:num w:numId="27">
    <w:abstractNumId w:val="7"/>
  </w:num>
  <w:num w:numId="28">
    <w:abstractNumId w:val="3"/>
  </w:num>
  <w:num w:numId="29">
    <w:abstractNumId w:val="14"/>
  </w:num>
  <w:num w:numId="30">
    <w:abstractNumId w:val="1"/>
  </w:num>
  <w:num w:numId="31">
    <w:abstractNumId w:val="0"/>
  </w:num>
  <w:num w:numId="32">
    <w:abstractNumId w:val="32"/>
  </w:num>
  <w:num w:numId="33">
    <w:abstractNumId w:val="4"/>
  </w:num>
  <w:num w:numId="34">
    <w:abstractNumId w:val="38"/>
  </w:num>
  <w:num w:numId="35">
    <w:abstractNumId w:val="5"/>
  </w:num>
  <w:num w:numId="36">
    <w:abstractNumId w:val="22"/>
  </w:num>
  <w:num w:numId="37">
    <w:abstractNumId w:val="27"/>
  </w:num>
  <w:num w:numId="38">
    <w:abstractNumId w:val="8"/>
  </w:num>
  <w:num w:numId="39">
    <w:abstractNumId w:val="18"/>
  </w:num>
  <w:num w:numId="40">
    <w:abstractNumId w:val="17"/>
  </w:num>
  <w:num w:numId="41">
    <w:abstractNumId w:val="39"/>
  </w:num>
  <w:num w:numId="42">
    <w:abstractNumId w:val="29"/>
  </w:num>
  <w:num w:numId="4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4EB"/>
    <w:rsid w:val="00002A5B"/>
    <w:rsid w:val="00006F58"/>
    <w:rsid w:val="00011494"/>
    <w:rsid w:val="00030F4B"/>
    <w:rsid w:val="000541B1"/>
    <w:rsid w:val="000634D6"/>
    <w:rsid w:val="000703A9"/>
    <w:rsid w:val="000C067B"/>
    <w:rsid w:val="000C7B55"/>
    <w:rsid w:val="000E7F6D"/>
    <w:rsid w:val="0011412D"/>
    <w:rsid w:val="001201FA"/>
    <w:rsid w:val="00157224"/>
    <w:rsid w:val="00157B38"/>
    <w:rsid w:val="0016411F"/>
    <w:rsid w:val="00165DE3"/>
    <w:rsid w:val="00176307"/>
    <w:rsid w:val="001903B8"/>
    <w:rsid w:val="001A2781"/>
    <w:rsid w:val="001B205A"/>
    <w:rsid w:val="001B5044"/>
    <w:rsid w:val="001C5EBE"/>
    <w:rsid w:val="001D0D9F"/>
    <w:rsid w:val="001D706D"/>
    <w:rsid w:val="0023156E"/>
    <w:rsid w:val="002333EB"/>
    <w:rsid w:val="00261B5F"/>
    <w:rsid w:val="002A4012"/>
    <w:rsid w:val="002B6F84"/>
    <w:rsid w:val="002E3C57"/>
    <w:rsid w:val="002F5D21"/>
    <w:rsid w:val="00303FBB"/>
    <w:rsid w:val="00306A09"/>
    <w:rsid w:val="00343A36"/>
    <w:rsid w:val="003451D4"/>
    <w:rsid w:val="003479B3"/>
    <w:rsid w:val="003570BB"/>
    <w:rsid w:val="00360D8C"/>
    <w:rsid w:val="003854EB"/>
    <w:rsid w:val="003D01AB"/>
    <w:rsid w:val="0046137A"/>
    <w:rsid w:val="0046215F"/>
    <w:rsid w:val="00472890"/>
    <w:rsid w:val="004C1D86"/>
    <w:rsid w:val="004E0ECB"/>
    <w:rsid w:val="0052538B"/>
    <w:rsid w:val="00525832"/>
    <w:rsid w:val="00543EF4"/>
    <w:rsid w:val="00567DEA"/>
    <w:rsid w:val="005849C8"/>
    <w:rsid w:val="005A2B5D"/>
    <w:rsid w:val="005C59CA"/>
    <w:rsid w:val="005E13A7"/>
    <w:rsid w:val="00607D64"/>
    <w:rsid w:val="00622036"/>
    <w:rsid w:val="00623B00"/>
    <w:rsid w:val="00657614"/>
    <w:rsid w:val="00666603"/>
    <w:rsid w:val="0067228C"/>
    <w:rsid w:val="006E0600"/>
    <w:rsid w:val="006F562C"/>
    <w:rsid w:val="006F6D65"/>
    <w:rsid w:val="00713621"/>
    <w:rsid w:val="0072481A"/>
    <w:rsid w:val="00773D03"/>
    <w:rsid w:val="0078504C"/>
    <w:rsid w:val="00794DF7"/>
    <w:rsid w:val="007B7F62"/>
    <w:rsid w:val="007C2E58"/>
    <w:rsid w:val="007D6189"/>
    <w:rsid w:val="007E0692"/>
    <w:rsid w:val="008065A5"/>
    <w:rsid w:val="008308E8"/>
    <w:rsid w:val="00833892"/>
    <w:rsid w:val="008566B2"/>
    <w:rsid w:val="008D1268"/>
    <w:rsid w:val="008E1078"/>
    <w:rsid w:val="008E6148"/>
    <w:rsid w:val="00916C8D"/>
    <w:rsid w:val="009441D9"/>
    <w:rsid w:val="0094643B"/>
    <w:rsid w:val="00982849"/>
    <w:rsid w:val="009A3AB8"/>
    <w:rsid w:val="009E1EF9"/>
    <w:rsid w:val="00A11ABB"/>
    <w:rsid w:val="00A22577"/>
    <w:rsid w:val="00A2605D"/>
    <w:rsid w:val="00A3176D"/>
    <w:rsid w:val="00A3679B"/>
    <w:rsid w:val="00A37CE6"/>
    <w:rsid w:val="00AA5536"/>
    <w:rsid w:val="00AB2791"/>
    <w:rsid w:val="00AB76D8"/>
    <w:rsid w:val="00AC0816"/>
    <w:rsid w:val="00AC352D"/>
    <w:rsid w:val="00AC6A3D"/>
    <w:rsid w:val="00AF450E"/>
    <w:rsid w:val="00B009E0"/>
    <w:rsid w:val="00B13430"/>
    <w:rsid w:val="00B4621D"/>
    <w:rsid w:val="00B54B61"/>
    <w:rsid w:val="00B6446D"/>
    <w:rsid w:val="00B77EFA"/>
    <w:rsid w:val="00B94FBE"/>
    <w:rsid w:val="00BD7B58"/>
    <w:rsid w:val="00BF5126"/>
    <w:rsid w:val="00C135C7"/>
    <w:rsid w:val="00C27FA9"/>
    <w:rsid w:val="00C44FD8"/>
    <w:rsid w:val="00C50739"/>
    <w:rsid w:val="00C66B13"/>
    <w:rsid w:val="00C96E60"/>
    <w:rsid w:val="00CA2C92"/>
    <w:rsid w:val="00CA5CF5"/>
    <w:rsid w:val="00CE4D41"/>
    <w:rsid w:val="00CF56ED"/>
    <w:rsid w:val="00D01D3D"/>
    <w:rsid w:val="00D10B2C"/>
    <w:rsid w:val="00D507FB"/>
    <w:rsid w:val="00D52BAE"/>
    <w:rsid w:val="00D54E7E"/>
    <w:rsid w:val="00DB5345"/>
    <w:rsid w:val="00DC0742"/>
    <w:rsid w:val="00DC538C"/>
    <w:rsid w:val="00DD24C7"/>
    <w:rsid w:val="00E03AD5"/>
    <w:rsid w:val="00E15A58"/>
    <w:rsid w:val="00E174BD"/>
    <w:rsid w:val="00E4112E"/>
    <w:rsid w:val="00E57AAC"/>
    <w:rsid w:val="00E733EE"/>
    <w:rsid w:val="00E7789D"/>
    <w:rsid w:val="00E82025"/>
    <w:rsid w:val="00E86F9D"/>
    <w:rsid w:val="00ED1287"/>
    <w:rsid w:val="00EF2C20"/>
    <w:rsid w:val="00F15391"/>
    <w:rsid w:val="00F20EB6"/>
    <w:rsid w:val="00F52CD3"/>
    <w:rsid w:val="00F61645"/>
    <w:rsid w:val="00F621BD"/>
    <w:rsid w:val="00F9047E"/>
    <w:rsid w:val="00FA4916"/>
    <w:rsid w:val="00FC783B"/>
    <w:rsid w:val="00FD1E6A"/>
    <w:rsid w:val="00FE5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D6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854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385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54E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54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54EB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85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54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A3AB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4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15</Pages>
  <Words>6203</Words>
  <Characters>-32766</Characters>
  <Application>Microsoft Office Outlook</Application>
  <DocSecurity>0</DocSecurity>
  <Lines>0</Lines>
  <Paragraphs>0</Paragraphs>
  <ScaleCrop>false</ScaleCrop>
  <Company>PKiI UMDT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Piotr</cp:lastModifiedBy>
  <cp:revision>8</cp:revision>
  <dcterms:created xsi:type="dcterms:W3CDTF">2023-06-13T12:24:00Z</dcterms:created>
  <dcterms:modified xsi:type="dcterms:W3CDTF">2023-06-15T07:38:00Z</dcterms:modified>
</cp:coreProperties>
</file>